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5E2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8A91CA3" w14:textId="77777777" w:rsidTr="005F7F7E">
        <w:tc>
          <w:tcPr>
            <w:tcW w:w="2438" w:type="dxa"/>
            <w:shd w:val="clear" w:color="auto" w:fill="auto"/>
          </w:tcPr>
          <w:p w14:paraId="5F4E393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6F4CEA9" w14:textId="24550274" w:rsidR="00F445B1" w:rsidRPr="00F95BC9" w:rsidRDefault="006C1A5A" w:rsidP="004A6D2F">
            <w:pPr>
              <w:rPr>
                <w:rStyle w:val="Firstpagetablebold"/>
              </w:rPr>
            </w:pPr>
            <w:r>
              <w:rPr>
                <w:rStyle w:val="Firstpagetablebold"/>
              </w:rPr>
              <w:t>Finance and Performance Panel</w:t>
            </w:r>
          </w:p>
        </w:tc>
      </w:tr>
      <w:tr w:rsidR="00CE544A" w:rsidRPr="00975B07" w14:paraId="64836082" w14:textId="77777777" w:rsidTr="005F7F7E">
        <w:tc>
          <w:tcPr>
            <w:tcW w:w="2438" w:type="dxa"/>
            <w:shd w:val="clear" w:color="auto" w:fill="auto"/>
          </w:tcPr>
          <w:p w14:paraId="5ABC5AA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6ED9BEC" w14:textId="627AECE8" w:rsidR="00F445B1" w:rsidRPr="001356F1" w:rsidRDefault="006C1A5A" w:rsidP="005D0621">
            <w:pPr>
              <w:rPr>
                <w:b/>
              </w:rPr>
            </w:pPr>
            <w:r>
              <w:rPr>
                <w:rStyle w:val="Firstpagetablebold"/>
              </w:rPr>
              <w:t>06 December 2023</w:t>
            </w:r>
          </w:p>
        </w:tc>
      </w:tr>
      <w:tr w:rsidR="00CE544A" w:rsidRPr="00975B07" w14:paraId="519B8D77" w14:textId="77777777" w:rsidTr="005F7F7E">
        <w:tc>
          <w:tcPr>
            <w:tcW w:w="2438" w:type="dxa"/>
            <w:shd w:val="clear" w:color="auto" w:fill="auto"/>
          </w:tcPr>
          <w:p w14:paraId="1F1A48C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E669CD6" w14:textId="3BCCE9B6" w:rsidR="00F445B1" w:rsidRPr="001356F1" w:rsidRDefault="006C1A5A" w:rsidP="004A6D2F">
            <w:pPr>
              <w:rPr>
                <w:rStyle w:val="Firstpagetablebold"/>
              </w:rPr>
            </w:pPr>
            <w:r>
              <w:rPr>
                <w:rStyle w:val="Firstpagetablebold"/>
              </w:rPr>
              <w:t>Head of Financial Services (</w:t>
            </w:r>
            <w:r w:rsidR="00EB2185">
              <w:rPr>
                <w:rStyle w:val="Firstpagetablebold"/>
              </w:rPr>
              <w:t xml:space="preserve">Section </w:t>
            </w:r>
            <w:r>
              <w:rPr>
                <w:rStyle w:val="Firstpagetablebold"/>
              </w:rPr>
              <w:t>151 Officer)</w:t>
            </w:r>
          </w:p>
        </w:tc>
      </w:tr>
      <w:tr w:rsidR="00CE544A" w:rsidRPr="00975B07" w14:paraId="2B344E23" w14:textId="77777777" w:rsidTr="005F7F7E">
        <w:tc>
          <w:tcPr>
            <w:tcW w:w="2438" w:type="dxa"/>
            <w:shd w:val="clear" w:color="auto" w:fill="auto"/>
          </w:tcPr>
          <w:p w14:paraId="578EF24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1F0BAA0" w14:textId="63733CE9" w:rsidR="00F445B1" w:rsidRPr="001356F1" w:rsidRDefault="000E28D4" w:rsidP="004A6D2F">
            <w:pPr>
              <w:rPr>
                <w:rStyle w:val="Firstpagetablebold"/>
              </w:rPr>
            </w:pPr>
            <w:r>
              <w:rPr>
                <w:rStyle w:val="Firstpagetablebold"/>
              </w:rPr>
              <w:t>Background and Implications of Local Authority Section 114 Notices</w:t>
            </w:r>
          </w:p>
        </w:tc>
      </w:tr>
    </w:tbl>
    <w:p w14:paraId="10A66F8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3A590F2" w14:textId="77777777" w:rsidTr="0080749A">
        <w:tc>
          <w:tcPr>
            <w:tcW w:w="8845" w:type="dxa"/>
            <w:gridSpan w:val="3"/>
            <w:tcBorders>
              <w:bottom w:val="single" w:sz="8" w:space="0" w:color="000000"/>
            </w:tcBorders>
            <w:hideMark/>
          </w:tcPr>
          <w:p w14:paraId="5C116D9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055FC3F" w14:textId="77777777" w:rsidTr="0080749A">
        <w:tc>
          <w:tcPr>
            <w:tcW w:w="2438" w:type="dxa"/>
            <w:gridSpan w:val="2"/>
            <w:tcBorders>
              <w:top w:val="single" w:sz="8" w:space="0" w:color="000000"/>
              <w:left w:val="single" w:sz="8" w:space="0" w:color="000000"/>
              <w:bottom w:val="nil"/>
              <w:right w:val="nil"/>
            </w:tcBorders>
            <w:hideMark/>
          </w:tcPr>
          <w:p w14:paraId="21B6670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D9AA26C" w14:textId="285C39C0" w:rsidR="00D5547E" w:rsidRPr="001356F1" w:rsidRDefault="00FE4839" w:rsidP="00821AAF">
            <w:r>
              <w:t>To update the Finance and Performance Panel</w:t>
            </w:r>
            <w:r w:rsidR="00DA32DD">
              <w:t xml:space="preserve"> on the background and implications of the series of local authority Section 114 </w:t>
            </w:r>
            <w:r w:rsidR="000E28D4">
              <w:t>notices</w:t>
            </w:r>
            <w:r w:rsidR="00DA32DD">
              <w:t xml:space="preserve"> which have been issued recently</w:t>
            </w:r>
            <w:r w:rsidR="008A5C02">
              <w:t xml:space="preserve"> and how Oxford compares to those local authorities and others across the country.</w:t>
            </w:r>
          </w:p>
        </w:tc>
      </w:tr>
      <w:tr w:rsidR="0080749A" w14:paraId="2ACBC27E" w14:textId="77777777" w:rsidTr="0080749A">
        <w:tc>
          <w:tcPr>
            <w:tcW w:w="2438" w:type="dxa"/>
            <w:gridSpan w:val="2"/>
            <w:tcBorders>
              <w:top w:val="nil"/>
              <w:left w:val="single" w:sz="8" w:space="0" w:color="000000"/>
              <w:bottom w:val="nil"/>
              <w:right w:val="nil"/>
            </w:tcBorders>
          </w:tcPr>
          <w:p w14:paraId="5636614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F3EE45D" w14:textId="48B5258F" w:rsidR="0080749A" w:rsidRPr="001356F1" w:rsidRDefault="008A5C02" w:rsidP="005F7F7E">
            <w:r>
              <w:t>All</w:t>
            </w:r>
          </w:p>
        </w:tc>
      </w:tr>
      <w:tr w:rsidR="00D5547E" w14:paraId="6F1CDD60" w14:textId="77777777" w:rsidTr="0080749A">
        <w:tc>
          <w:tcPr>
            <w:tcW w:w="2438" w:type="dxa"/>
            <w:gridSpan w:val="2"/>
            <w:tcBorders>
              <w:top w:val="nil"/>
              <w:left w:val="single" w:sz="8" w:space="0" w:color="000000"/>
              <w:bottom w:val="nil"/>
              <w:right w:val="nil"/>
            </w:tcBorders>
            <w:hideMark/>
          </w:tcPr>
          <w:p w14:paraId="65F1153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CC8D193" w14:textId="4BB9A7EA" w:rsidR="00D5547E" w:rsidRPr="001356F1" w:rsidRDefault="008A5C02" w:rsidP="005F7F7E">
            <w:r>
              <w:t>Council Strategy 2020-24</w:t>
            </w:r>
          </w:p>
        </w:tc>
      </w:tr>
      <w:tr w:rsidR="005F7F7E" w:rsidRPr="00975B07" w14:paraId="718AAF69" w14:textId="77777777" w:rsidTr="00685A55">
        <w:trPr>
          <w:trHeight w:val="413"/>
        </w:trPr>
        <w:tc>
          <w:tcPr>
            <w:tcW w:w="8845" w:type="dxa"/>
            <w:gridSpan w:val="3"/>
            <w:tcBorders>
              <w:bottom w:val="single" w:sz="8" w:space="0" w:color="000000"/>
            </w:tcBorders>
          </w:tcPr>
          <w:p w14:paraId="41659826" w14:textId="09750936" w:rsidR="005F7F7E" w:rsidRPr="00975B07" w:rsidRDefault="005F7F7E" w:rsidP="00821AAF">
            <w:r>
              <w:rPr>
                <w:rStyle w:val="Firstpagetablebold"/>
              </w:rPr>
              <w:t>Recommendation(s):</w:t>
            </w:r>
            <w:r w:rsidR="00685A55">
              <w:rPr>
                <w:rStyle w:val="Firstpagetablebold"/>
              </w:rPr>
              <w:t xml:space="preserve"> </w:t>
            </w:r>
            <w:r>
              <w:rPr>
                <w:rStyle w:val="Firstpagetablebold"/>
              </w:rPr>
              <w:t xml:space="preserve">That the </w:t>
            </w:r>
            <w:r w:rsidR="008A5C02">
              <w:rPr>
                <w:rStyle w:val="Firstpagetablebold"/>
              </w:rPr>
              <w:t>Panel</w:t>
            </w:r>
            <w:r>
              <w:rPr>
                <w:rStyle w:val="Firstpagetablebold"/>
              </w:rPr>
              <w:t xml:space="preserve"> resolves to:</w:t>
            </w:r>
          </w:p>
        </w:tc>
      </w:tr>
      <w:tr w:rsidR="0030208D" w:rsidRPr="00975B07" w14:paraId="793E5F26" w14:textId="77777777" w:rsidTr="00685A55">
        <w:trPr>
          <w:trHeight w:val="283"/>
        </w:trPr>
        <w:tc>
          <w:tcPr>
            <w:tcW w:w="426" w:type="dxa"/>
            <w:tcBorders>
              <w:top w:val="single" w:sz="8" w:space="0" w:color="000000"/>
              <w:left w:val="single" w:sz="8" w:space="0" w:color="000000"/>
              <w:bottom w:val="single" w:sz="4" w:space="0" w:color="auto"/>
              <w:right w:val="nil"/>
            </w:tcBorders>
          </w:tcPr>
          <w:p w14:paraId="70784587"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1104BF2" w14:textId="0E73915D" w:rsidR="0030208D" w:rsidRPr="001356F1" w:rsidRDefault="0026382E" w:rsidP="002069B3">
            <w:r>
              <w:rPr>
                <w:rStyle w:val="Firstpagetablebold"/>
              </w:rPr>
              <w:t xml:space="preserve">Note </w:t>
            </w:r>
            <w:r w:rsidR="00685A55">
              <w:rPr>
                <w:rStyle w:val="Firstpagetablebold"/>
              </w:rPr>
              <w:t xml:space="preserve">and comment on </w:t>
            </w:r>
            <w:r>
              <w:rPr>
                <w:rStyle w:val="Firstpagetablebold"/>
                <w:b w:val="0"/>
                <w:bCs/>
              </w:rPr>
              <w:t>the contents of the report</w:t>
            </w:r>
            <w:r w:rsidR="00685A55">
              <w:rPr>
                <w:rStyle w:val="Firstpagetablebold"/>
                <w:b w:val="0"/>
                <w:bCs/>
              </w:rPr>
              <w:t xml:space="preserve"> and agree any recommendations.</w:t>
            </w:r>
            <w:r w:rsidR="0030208D" w:rsidRPr="001356F1">
              <w:t xml:space="preserve"> </w:t>
            </w:r>
          </w:p>
        </w:tc>
      </w:tr>
    </w:tbl>
    <w:p w14:paraId="6728F98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9EE3DF0" w14:textId="77777777" w:rsidTr="00FF0EE1">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9F9A9A7" w14:textId="77777777" w:rsidR="00966D42" w:rsidRPr="002009AE" w:rsidRDefault="00966D42" w:rsidP="00263EA3">
            <w:pPr>
              <w:jc w:val="center"/>
            </w:pPr>
            <w:r w:rsidRPr="002009AE">
              <w:rPr>
                <w:rStyle w:val="Firstpagetablebold"/>
              </w:rPr>
              <w:t>Appendices</w:t>
            </w:r>
          </w:p>
        </w:tc>
      </w:tr>
      <w:tr w:rsidR="00ED5860" w:rsidRPr="00975B07" w14:paraId="232C82A9" w14:textId="77777777" w:rsidTr="00FF0EE1">
        <w:tc>
          <w:tcPr>
            <w:tcW w:w="2438" w:type="dxa"/>
            <w:tcBorders>
              <w:top w:val="single" w:sz="8" w:space="0" w:color="000000"/>
              <w:left w:val="single" w:sz="8" w:space="0" w:color="000000"/>
              <w:bottom w:val="single" w:sz="4" w:space="0" w:color="auto"/>
              <w:right w:val="nil"/>
            </w:tcBorders>
            <w:shd w:val="clear" w:color="auto" w:fill="auto"/>
          </w:tcPr>
          <w:p w14:paraId="73CB0AF5" w14:textId="77777777" w:rsidR="00ED5860" w:rsidRPr="002009AE" w:rsidRDefault="00ED5860" w:rsidP="004A6D2F">
            <w:r w:rsidRPr="002009AE">
              <w:t>Appendix 1</w:t>
            </w:r>
          </w:p>
        </w:tc>
        <w:tc>
          <w:tcPr>
            <w:tcW w:w="6406" w:type="dxa"/>
            <w:tcBorders>
              <w:top w:val="single" w:sz="8" w:space="0" w:color="000000"/>
              <w:left w:val="nil"/>
              <w:bottom w:val="single" w:sz="4" w:space="0" w:color="auto"/>
              <w:right w:val="single" w:sz="8" w:space="0" w:color="000000"/>
            </w:tcBorders>
          </w:tcPr>
          <w:p w14:paraId="4F7052FD" w14:textId="38FC04F4" w:rsidR="00ED5860" w:rsidRPr="002009AE" w:rsidRDefault="002009AE" w:rsidP="004A6D2F">
            <w:r w:rsidRPr="002009AE">
              <w:rPr>
                <w:rFonts w:cs="Arial"/>
              </w:rPr>
              <w:t>Summary of Circumstances Cited for Local Authorities Issuing Section 114 Notices</w:t>
            </w:r>
          </w:p>
        </w:tc>
      </w:tr>
    </w:tbl>
    <w:p w14:paraId="1FD6E69A" w14:textId="03C36355" w:rsidR="0040736F" w:rsidRPr="001356F1" w:rsidRDefault="00F66DCA" w:rsidP="004A6D2F">
      <w:pPr>
        <w:pStyle w:val="Heading1"/>
      </w:pPr>
      <w:r w:rsidRPr="001356F1">
        <w:t xml:space="preserve">Introduction </w:t>
      </w:r>
    </w:p>
    <w:p w14:paraId="125972F2" w14:textId="6111713B" w:rsidR="00E87F7A" w:rsidRDefault="00C740CF" w:rsidP="0027562B">
      <w:pPr>
        <w:pStyle w:val="ListParagraph"/>
        <w:jc w:val="both"/>
      </w:pPr>
      <w:r>
        <w:t xml:space="preserve">At its meeting on 06 September 2023, the Finance and Performance Panel requested </w:t>
      </w:r>
      <w:r w:rsidR="00475E25">
        <w:t>a report to its next meeting from the Head of Financial Services setting out the implications of the series of local authority Section 114 notices which had been issued recently</w:t>
      </w:r>
      <w:r w:rsidR="00DD5441">
        <w:t>, to include a sense of how Oxford compared to those local authorities and others across the country.</w:t>
      </w:r>
    </w:p>
    <w:p w14:paraId="1276DCEC" w14:textId="513CB5AF" w:rsidR="00DD5441" w:rsidRDefault="00DD5441" w:rsidP="00403F6E">
      <w:pPr>
        <w:pStyle w:val="ListParagraph"/>
        <w:jc w:val="both"/>
      </w:pPr>
      <w:r w:rsidRPr="00403F6E">
        <w:t>This report</w:t>
      </w:r>
      <w:r w:rsidR="00802A3D" w:rsidRPr="00403F6E">
        <w:t xml:space="preserve"> provides an overview of Section 114</w:t>
      </w:r>
      <w:r w:rsidR="00403F6E" w:rsidRPr="00403F6E">
        <w:t xml:space="preserve"> notices</w:t>
      </w:r>
      <w:r w:rsidR="00802A3D" w:rsidRPr="00403F6E">
        <w:t xml:space="preserve"> which have been issued</w:t>
      </w:r>
      <w:r w:rsidR="006820C5" w:rsidRPr="00403F6E">
        <w:t xml:space="preserve"> to date and commentary on how Oxford City Council is performing in relation to a number of recurrent themes </w:t>
      </w:r>
      <w:r w:rsidR="00403F6E" w:rsidRPr="00403F6E">
        <w:t>within those authorities which have issued Section 114 notices.</w:t>
      </w:r>
    </w:p>
    <w:p w14:paraId="1060FCD1" w14:textId="77777777" w:rsidR="00714064" w:rsidRDefault="00714064" w:rsidP="00714064">
      <w:pPr>
        <w:pStyle w:val="ListParagraph"/>
        <w:numPr>
          <w:ilvl w:val="0"/>
          <w:numId w:val="0"/>
        </w:numPr>
        <w:ind w:left="360"/>
        <w:jc w:val="both"/>
      </w:pPr>
    </w:p>
    <w:p w14:paraId="73CF8928" w14:textId="77777777" w:rsidR="00714064" w:rsidRDefault="00714064" w:rsidP="00714064">
      <w:pPr>
        <w:pStyle w:val="ListParagraph"/>
        <w:numPr>
          <w:ilvl w:val="0"/>
          <w:numId w:val="0"/>
        </w:numPr>
        <w:ind w:left="360"/>
        <w:jc w:val="both"/>
      </w:pPr>
    </w:p>
    <w:p w14:paraId="453BE9AF" w14:textId="77777777" w:rsidR="00515EC0" w:rsidRPr="001356F1" w:rsidRDefault="00515EC0" w:rsidP="00515EC0">
      <w:pPr>
        <w:pStyle w:val="Heading1"/>
      </w:pPr>
      <w:r>
        <w:lastRenderedPageBreak/>
        <w:t>Legislative Framework</w:t>
      </w:r>
    </w:p>
    <w:p w14:paraId="70D55700" w14:textId="77777777" w:rsidR="00515EC0" w:rsidRDefault="00CE0C8C" w:rsidP="00515EC0">
      <w:pPr>
        <w:pStyle w:val="ListParagraph"/>
        <w:jc w:val="both"/>
      </w:pPr>
      <w:r>
        <w:t xml:space="preserve">Local authorities are required by law to set a balanced budget </w:t>
      </w:r>
      <w:r w:rsidR="00562C6C">
        <w:t>for each financial year.</w:t>
      </w:r>
      <w:r w:rsidR="009C6AB3">
        <w:t xml:space="preserve"> This means that forecast expenditure </w:t>
      </w:r>
      <w:r w:rsidR="003C03BB">
        <w:t>and</w:t>
      </w:r>
      <w:r w:rsidR="009C6AB3">
        <w:t xml:space="preserve"> forecast income</w:t>
      </w:r>
      <w:r w:rsidR="003C03BB">
        <w:t xml:space="preserve"> must align</w:t>
      </w:r>
      <w:r w:rsidR="00997B7D">
        <w:t>; this can include using reserves to balance the budget.</w:t>
      </w:r>
      <w:r w:rsidR="00572008">
        <w:t xml:space="preserve"> Legally, any budget deficit must be</w:t>
      </w:r>
      <w:r w:rsidR="004734E8">
        <w:t xml:space="preserve"> balanced.</w:t>
      </w:r>
    </w:p>
    <w:p w14:paraId="45AB12E0" w14:textId="77777777" w:rsidR="00515EC0" w:rsidRPr="003E786C" w:rsidRDefault="008D1F0A" w:rsidP="00515EC0">
      <w:pPr>
        <w:pStyle w:val="ListParagraph"/>
        <w:jc w:val="both"/>
      </w:pPr>
      <w:r>
        <w:t xml:space="preserve">The Section </w:t>
      </w:r>
      <w:r w:rsidRPr="003E786C">
        <w:t xml:space="preserve">151 </w:t>
      </w:r>
      <w:r w:rsidR="00EB2185" w:rsidRPr="003E786C">
        <w:t xml:space="preserve">Officer </w:t>
      </w:r>
      <w:r w:rsidRPr="003E786C">
        <w:t xml:space="preserve">of a local authority has a legal obligation to </w:t>
      </w:r>
      <w:r w:rsidR="00133AAD" w:rsidRPr="003E786C">
        <w:t>rep</w:t>
      </w:r>
      <w:r w:rsidR="008529A9" w:rsidRPr="003E786C">
        <w:t>ort</w:t>
      </w:r>
      <w:r w:rsidR="00D25FA9" w:rsidRPr="003E786C">
        <w:t xml:space="preserve"> where that authority</w:t>
      </w:r>
      <w:r w:rsidR="000767FF" w:rsidRPr="003E786C">
        <w:t xml:space="preserve"> has, or is about to, breach the legal requirement for a balanced budget</w:t>
      </w:r>
      <w:r w:rsidR="00E24C91" w:rsidRPr="003E786C">
        <w:t>.</w:t>
      </w:r>
      <w:r w:rsidR="00E24C91">
        <w:t xml:space="preserve"> This is referred to as a </w:t>
      </w:r>
      <w:r w:rsidR="00E24C91" w:rsidRPr="003E786C">
        <w:t>Section 114 notice</w:t>
      </w:r>
      <w:r w:rsidR="00E24C91">
        <w:t xml:space="preserve"> </w:t>
      </w:r>
      <w:r w:rsidR="00C03B6A" w:rsidRPr="003E786C">
        <w:t xml:space="preserve">under the Local </w:t>
      </w:r>
      <w:r w:rsidR="00C03B6A" w:rsidRPr="00714064">
        <w:t>Government Finance</w:t>
      </w:r>
      <w:r w:rsidR="00C03B6A" w:rsidRPr="003E786C">
        <w:t xml:space="preserve"> Act 1988</w:t>
      </w:r>
      <w:r w:rsidR="00C03B6A">
        <w:t xml:space="preserve"> </w:t>
      </w:r>
      <w:r w:rsidR="00E24C91">
        <w:t xml:space="preserve">and indicates that </w:t>
      </w:r>
      <w:r w:rsidR="00CB10AE">
        <w:t xml:space="preserve">the authority’s </w:t>
      </w:r>
      <w:r w:rsidR="00691A06">
        <w:t>forecast income is insufficient to meet its forecast expenditure.</w:t>
      </w:r>
      <w:r w:rsidR="00A1338D">
        <w:t xml:space="preserve"> A Section 114 notice is also required to be issued where</w:t>
      </w:r>
      <w:r w:rsidR="00E12C26">
        <w:t xml:space="preserve"> an authority has made, or is about to make, a decision which involves that authority incurring </w:t>
      </w:r>
      <w:r w:rsidR="00E12C26" w:rsidRPr="003E786C">
        <w:t>expenditure which is unlawful</w:t>
      </w:r>
      <w:r w:rsidR="00B254D7" w:rsidRPr="003E786C">
        <w:t xml:space="preserve"> (e.g. using Capital</w:t>
      </w:r>
      <w:r w:rsidR="00280425" w:rsidRPr="003E786C">
        <w:t xml:space="preserve"> funds for Revenue expenditure)</w:t>
      </w:r>
      <w:r w:rsidR="00E12C26" w:rsidRPr="003E786C">
        <w:t>.</w:t>
      </w:r>
    </w:p>
    <w:p w14:paraId="22994136" w14:textId="03EE1463" w:rsidR="00515EC0" w:rsidRPr="003E786C" w:rsidRDefault="00515EC0" w:rsidP="00515EC0">
      <w:pPr>
        <w:pStyle w:val="ListParagraph"/>
        <w:jc w:val="both"/>
      </w:pPr>
      <w:r w:rsidRPr="003E786C">
        <w:rPr>
          <w:rFonts w:cs="Arial"/>
          <w:color w:val="273035"/>
          <w:shd w:val="clear" w:color="auto" w:fill="FFFFFF"/>
        </w:rPr>
        <w:t xml:space="preserve">A </w:t>
      </w:r>
      <w:r w:rsidR="00714064">
        <w:rPr>
          <w:rFonts w:cs="Arial"/>
          <w:color w:val="273035"/>
          <w:shd w:val="clear" w:color="auto" w:fill="FFFFFF"/>
        </w:rPr>
        <w:t xml:space="preserve">Section </w:t>
      </w:r>
      <w:r w:rsidRPr="003E786C">
        <w:rPr>
          <w:rFonts w:cs="Arial"/>
          <w:color w:val="273035"/>
          <w:shd w:val="clear" w:color="auto" w:fill="FFFFFF"/>
        </w:rPr>
        <w:t>114 notice puts spending controls in place and prohibits all new expenditure by a council, other than that required to provide statutory services such as education services, children's safeguarding and social care, waste collection, planning and housing services, road maintenance and library services. New expenditure may only be authorised by the Chief Financial Officer where it will prevent the situation that led to the s114 notice from getting worse, improve the situation, or prevent its reoccurrence.</w:t>
      </w:r>
    </w:p>
    <w:p w14:paraId="713856AE" w14:textId="773631DF" w:rsidR="00515EC0" w:rsidRDefault="00515EC0" w:rsidP="00515EC0">
      <w:pPr>
        <w:pStyle w:val="ListParagraph"/>
        <w:jc w:val="both"/>
      </w:pPr>
      <w:r>
        <w:t>Full Council must meet within 21 days to discuss the Section 151 Officer’s report. Generally those councils in receipt of such notices would seek to pass an amended budget reducing spending on services.</w:t>
      </w:r>
    </w:p>
    <w:p w14:paraId="76E97E55" w14:textId="177E9285" w:rsidR="00CD7C01" w:rsidRDefault="00FB064E" w:rsidP="00CD7C01">
      <w:pPr>
        <w:pStyle w:val="ListParagraph"/>
        <w:jc w:val="both"/>
      </w:pPr>
      <w:r>
        <w:t xml:space="preserve">Section 114 notices are </w:t>
      </w:r>
      <w:r w:rsidR="005B2945">
        <w:t xml:space="preserve">often </w:t>
      </w:r>
      <w:r w:rsidR="005A3C01">
        <w:t xml:space="preserve">described as </w:t>
      </w:r>
      <w:r w:rsidR="00956C6F">
        <w:t xml:space="preserve">an authority </w:t>
      </w:r>
      <w:r w:rsidR="00956C6F" w:rsidRPr="003E786C">
        <w:t>declaring bankruptcy,</w:t>
      </w:r>
      <w:r w:rsidR="00956C6F">
        <w:t xml:space="preserve"> </w:t>
      </w:r>
      <w:r w:rsidR="00BF353C">
        <w:t xml:space="preserve">but a </w:t>
      </w:r>
      <w:r w:rsidR="000F13DB">
        <w:t xml:space="preserve">UK </w:t>
      </w:r>
      <w:r w:rsidR="008150E0">
        <w:t xml:space="preserve">local authority </w:t>
      </w:r>
      <w:r w:rsidR="00BF353C">
        <w:t>cannot</w:t>
      </w:r>
      <w:r w:rsidR="008150E0">
        <w:t xml:space="preserve"> become bankrupt.</w:t>
      </w:r>
      <w:r w:rsidR="00C03B6A">
        <w:t xml:space="preserve"> A </w:t>
      </w:r>
      <w:r w:rsidR="0027562B">
        <w:t>S</w:t>
      </w:r>
      <w:r w:rsidR="00C03B6A">
        <w:t xml:space="preserve">ection 114 notice simply indicates that the council is about to incur expenditure that is unlawful </w:t>
      </w:r>
      <w:r w:rsidR="00DF1204">
        <w:t>under</w:t>
      </w:r>
      <w:r w:rsidR="00C03B6A">
        <w:t xml:space="preserve"> the Local Government Finance Act 1988. </w:t>
      </w:r>
    </w:p>
    <w:p w14:paraId="0789A229" w14:textId="0E06E82B" w:rsidR="00CD7C01" w:rsidRDefault="00AC7231" w:rsidP="00CD7C01">
      <w:pPr>
        <w:pStyle w:val="ListParagraph"/>
        <w:jc w:val="both"/>
      </w:pPr>
      <w:r>
        <w:t>In extreme situations the Secretary of State (as in the case of Birmingham</w:t>
      </w:r>
      <w:r w:rsidR="0027562B">
        <w:t xml:space="preserve"> City Council</w:t>
      </w:r>
      <w:r>
        <w:t xml:space="preserve"> for example) can appoint commissioners to take control of the authority for a period of time</w:t>
      </w:r>
      <w:r w:rsidR="00714064">
        <w:t xml:space="preserve"> – Section 15 of the Local Government Act 1999. This can be full or partial (specific service areas) intervention. </w:t>
      </w:r>
    </w:p>
    <w:p w14:paraId="19E7AF5E" w14:textId="0B14809D" w:rsidR="00CD7C01" w:rsidRPr="00CD7C01" w:rsidRDefault="00CD7C01" w:rsidP="00CD7C01">
      <w:pPr>
        <w:rPr>
          <w:b/>
          <w:bCs/>
        </w:rPr>
      </w:pPr>
      <w:r w:rsidRPr="00CD7C01">
        <w:rPr>
          <w:b/>
          <w:bCs/>
        </w:rPr>
        <w:t>Role of Section 151 Officer</w:t>
      </w:r>
    </w:p>
    <w:p w14:paraId="3DC66527" w14:textId="77777777" w:rsidR="00FF373E" w:rsidRDefault="000C1D1C" w:rsidP="00FF373E">
      <w:pPr>
        <w:pStyle w:val="ListParagraph"/>
        <w:jc w:val="both"/>
      </w:pPr>
      <w:r w:rsidRPr="000C1D1C">
        <w:t>The role of the Council’s Section 151 Officer as the ‘officer responsible for financial affairs of the authority</w:t>
      </w:r>
      <w:r w:rsidR="0067417F">
        <w:t>’</w:t>
      </w:r>
      <w:r w:rsidRPr="000C1D1C">
        <w:t xml:space="preserve"> is pivotal in ensuring appropriate financial due diligence and governance within the authority, making decisions in line with their fiduciary du</w:t>
      </w:r>
      <w:r w:rsidR="0067417F">
        <w:t>t</w:t>
      </w:r>
      <w:r w:rsidRPr="000C1D1C">
        <w:t xml:space="preserve">y and in accordance with the principles within the </w:t>
      </w:r>
      <w:r w:rsidR="0067417F" w:rsidRPr="000C1D1C">
        <w:t>Chartered</w:t>
      </w:r>
      <w:r w:rsidRPr="000C1D1C">
        <w:t xml:space="preserve"> Institute of Public Finance and Accountancy (CIPFA) Codes and proper accounting practice</w:t>
      </w:r>
      <w:r>
        <w:t>.</w:t>
      </w:r>
    </w:p>
    <w:p w14:paraId="6BEB58EC" w14:textId="3F3DB142" w:rsidR="00FF373E" w:rsidRDefault="000C1D1C" w:rsidP="00FF373E">
      <w:pPr>
        <w:pStyle w:val="ListParagraph"/>
        <w:jc w:val="both"/>
      </w:pPr>
      <w:r>
        <w:t>There wil</w:t>
      </w:r>
      <w:r w:rsidR="0067417F">
        <w:t>l</w:t>
      </w:r>
      <w:r>
        <w:t xml:space="preserve"> however always be an </w:t>
      </w:r>
      <w:r w:rsidRPr="003E786C">
        <w:t>element of judgment of the individual based on their experience, i</w:t>
      </w:r>
      <w:r>
        <w:t xml:space="preserve">ndividual integrity and understanding of the situation. The issuing of a </w:t>
      </w:r>
      <w:r w:rsidR="0027562B">
        <w:t>S</w:t>
      </w:r>
      <w:r>
        <w:t>ection 114 Notice will be one of the most critical decisions the Section 151 officer will make in the</w:t>
      </w:r>
      <w:r w:rsidR="0067417F">
        <w:t>i</w:t>
      </w:r>
      <w:r>
        <w:t xml:space="preserve">r career and one which will have a long lasting impact on the authority. It is therefore not to be taken lightly. </w:t>
      </w:r>
    </w:p>
    <w:p w14:paraId="7A80BFE7" w14:textId="1B9AA4A1" w:rsidR="00FF373E" w:rsidRDefault="000C1D1C" w:rsidP="00FF373E">
      <w:pPr>
        <w:pStyle w:val="ListParagraph"/>
        <w:jc w:val="both"/>
      </w:pPr>
      <w:r>
        <w:t>In coming to a decision as to whether a Section 114 Notice should be issued the Section 151</w:t>
      </w:r>
      <w:r w:rsidR="0027562B">
        <w:t xml:space="preserve"> Officer</w:t>
      </w:r>
      <w:r>
        <w:t xml:space="preserve"> has a statut</w:t>
      </w:r>
      <w:r w:rsidR="0067417F">
        <w:t>o</w:t>
      </w:r>
      <w:r>
        <w:t xml:space="preserve">ry duty to </w:t>
      </w:r>
      <w:r w:rsidRPr="003E786C">
        <w:t>consult with their fellow statut</w:t>
      </w:r>
      <w:r w:rsidR="0067417F" w:rsidRPr="003E786C">
        <w:t>o</w:t>
      </w:r>
      <w:r w:rsidRPr="003E786C">
        <w:t>ry officer</w:t>
      </w:r>
      <w:r>
        <w:t xml:space="preserve">s, the Head of the Paid Service and the Monitoring Officer. </w:t>
      </w:r>
      <w:r w:rsidR="00FF373E">
        <w:t xml:space="preserve">In some </w:t>
      </w:r>
      <w:r w:rsidR="00F25C22">
        <w:t>situations,</w:t>
      </w:r>
      <w:r w:rsidR="00FF373E">
        <w:t xml:space="preserve"> a s114 report may lead to the issuing of a s5 report by the Monitoring Officer</w:t>
      </w:r>
      <w:r w:rsidR="003C0D94">
        <w:t xml:space="preserve">, which is when the </w:t>
      </w:r>
      <w:r w:rsidR="0027562B">
        <w:t>c</w:t>
      </w:r>
      <w:r w:rsidR="003C0D94">
        <w:t xml:space="preserve">ouncil </w:t>
      </w:r>
      <w:r w:rsidR="0027562B">
        <w:t xml:space="preserve">has acted, </w:t>
      </w:r>
      <w:r w:rsidR="003C0D94">
        <w:t>or is about to act</w:t>
      </w:r>
      <w:r w:rsidR="0027562B">
        <w:t>,</w:t>
      </w:r>
      <w:r w:rsidR="003C0D94">
        <w:t xml:space="preserve"> unlawfully. This was seen in the </w:t>
      </w:r>
      <w:r w:rsidR="00F25C22">
        <w:t xml:space="preserve">case of Birmingham City Council. </w:t>
      </w:r>
    </w:p>
    <w:p w14:paraId="2873B794" w14:textId="7D46463F" w:rsidR="000C1D1C" w:rsidRDefault="000C1D1C" w:rsidP="00FF373E">
      <w:pPr>
        <w:pStyle w:val="ListParagraph"/>
        <w:jc w:val="both"/>
      </w:pPr>
      <w:r>
        <w:lastRenderedPageBreak/>
        <w:t>Guidance contained within the CIPFA Financial Management Code clearly states that the ‘issuing of a S</w:t>
      </w:r>
      <w:r w:rsidR="0067417F">
        <w:t>e</w:t>
      </w:r>
      <w:r>
        <w:t xml:space="preserve">ction 114 Notice should be seen as a </w:t>
      </w:r>
      <w:r w:rsidR="0082437C">
        <w:t>‘</w:t>
      </w:r>
      <w:r>
        <w:t xml:space="preserve">last resort’.  </w:t>
      </w:r>
      <w:r w:rsidR="0067417F">
        <w:t>During</w:t>
      </w:r>
      <w:r w:rsidR="0027562B">
        <w:t xml:space="preserve"> the</w:t>
      </w:r>
      <w:r w:rsidR="0067417F">
        <w:t xml:space="preserve"> COVID</w:t>
      </w:r>
      <w:r w:rsidR="0027562B">
        <w:t>-19</w:t>
      </w:r>
      <w:r w:rsidR="0067417F">
        <w:t xml:space="preserve"> </w:t>
      </w:r>
      <w:r w:rsidR="0027562B">
        <w:t xml:space="preserve">pandemic </w:t>
      </w:r>
      <w:r w:rsidR="0067417F">
        <w:t xml:space="preserve">the Department for Levelling Up Housing and Communities (DLUHC) </w:t>
      </w:r>
      <w:r w:rsidR="0027562B">
        <w:t>was</w:t>
      </w:r>
      <w:r w:rsidR="0067417F">
        <w:t xml:space="preserve"> advising authorities considering issuing such a Notice, arising from financial losses, should consult with them before doing so, such was the concern for the authority and the sector that this would have. </w:t>
      </w:r>
    </w:p>
    <w:p w14:paraId="6F0C14D0" w14:textId="721E5816" w:rsidR="0067417F" w:rsidRDefault="0067417F" w:rsidP="007A10C9">
      <w:pPr>
        <w:pStyle w:val="ListParagraph"/>
        <w:jc w:val="both"/>
      </w:pPr>
      <w:r>
        <w:t>In the good old days</w:t>
      </w:r>
      <w:r w:rsidR="0027562B">
        <w:t>,</w:t>
      </w:r>
      <w:r>
        <w:t xml:space="preserve"> it was often said that when a Section 151 Officer issues a Notice, they should ‘pick up their hat and coat on the way out’</w:t>
      </w:r>
      <w:r w:rsidR="00516122">
        <w:t xml:space="preserve"> however in recent times the reasons </w:t>
      </w:r>
      <w:r w:rsidR="00030F54">
        <w:t xml:space="preserve">for the decisions made by </w:t>
      </w:r>
      <w:r w:rsidR="001A200F">
        <w:t>the Section 151</w:t>
      </w:r>
      <w:r w:rsidR="0027562B">
        <w:t xml:space="preserve"> Officer</w:t>
      </w:r>
      <w:r w:rsidR="001A200F">
        <w:t xml:space="preserve"> issuing a </w:t>
      </w:r>
      <w:r w:rsidR="006B16C2">
        <w:t>Section 114 Noti</w:t>
      </w:r>
      <w:r w:rsidR="00714064">
        <w:t>c</w:t>
      </w:r>
      <w:r w:rsidR="006B16C2">
        <w:t xml:space="preserve">e </w:t>
      </w:r>
      <w:r w:rsidR="00516122">
        <w:t>have been more openly understood</w:t>
      </w:r>
      <w:r w:rsidR="006B16C2">
        <w:t>.</w:t>
      </w:r>
      <w:r w:rsidR="00516122">
        <w:t xml:space="preserve"> </w:t>
      </w:r>
      <w:r w:rsidR="006926DE">
        <w:t>Historically</w:t>
      </w:r>
      <w:r w:rsidR="0027562B">
        <w:t>,</w:t>
      </w:r>
      <w:r w:rsidR="003B1C46">
        <w:t xml:space="preserve"> Section 114 notices were more often than not a result of</w:t>
      </w:r>
      <w:r>
        <w:t xml:space="preserve"> financial mismanagement</w:t>
      </w:r>
      <w:r w:rsidR="0027562B">
        <w:t>;</w:t>
      </w:r>
      <w:r w:rsidR="003B1C46">
        <w:t xml:space="preserve"> more recently the reasons are more varied and complex, </w:t>
      </w:r>
      <w:r w:rsidR="006926DE">
        <w:t>resulting from risk</w:t>
      </w:r>
      <w:r w:rsidR="0027562B">
        <w:t>-</w:t>
      </w:r>
      <w:r w:rsidR="006926DE">
        <w:t xml:space="preserve">based decisions taken by authorities in light of reducing budgets and the need to continue to meet rising demand for statutory services. </w:t>
      </w:r>
    </w:p>
    <w:p w14:paraId="50897683" w14:textId="758A40E4" w:rsidR="00AB249C" w:rsidRDefault="009B45F9" w:rsidP="3CEA2146">
      <w:pPr>
        <w:pStyle w:val="bParagraphtext"/>
        <w:ind w:left="426" w:hanging="426"/>
        <w:rPr>
          <w:b/>
          <w:bCs/>
        </w:rPr>
      </w:pPr>
      <w:r w:rsidRPr="3CEA2146">
        <w:rPr>
          <w:b/>
          <w:bCs/>
        </w:rPr>
        <w:t xml:space="preserve">Overview of </w:t>
      </w:r>
      <w:r w:rsidR="000C27DF" w:rsidRPr="3CEA2146">
        <w:rPr>
          <w:b/>
          <w:bCs/>
        </w:rPr>
        <w:t>Section 114 Notices</w:t>
      </w:r>
    </w:p>
    <w:p w14:paraId="42DE34E0" w14:textId="6769D7D7" w:rsidR="007A10C9" w:rsidRDefault="007A10C9" w:rsidP="0027562B">
      <w:pPr>
        <w:pStyle w:val="ListParagraph"/>
        <w:jc w:val="both"/>
        <w:rPr>
          <w:rStyle w:val="ListParagraphChar"/>
        </w:rPr>
      </w:pPr>
      <w:r w:rsidRPr="3CEA2146">
        <w:rPr>
          <w:rStyle w:val="ListParagraphChar"/>
        </w:rPr>
        <w:t>Between 2000 and 2018 no local authorities issued a Section 114 Notice</w:t>
      </w:r>
      <w:r w:rsidR="0027562B">
        <w:rPr>
          <w:rStyle w:val="ListParagraphChar"/>
        </w:rPr>
        <w:t>,</w:t>
      </w:r>
      <w:r w:rsidRPr="3CEA2146">
        <w:rPr>
          <w:rStyle w:val="ListParagraphChar"/>
        </w:rPr>
        <w:t xml:space="preserve"> however there </w:t>
      </w:r>
      <w:r w:rsidR="0027562B">
        <w:rPr>
          <w:rStyle w:val="ListParagraphChar"/>
        </w:rPr>
        <w:t xml:space="preserve">have </w:t>
      </w:r>
      <w:r w:rsidR="00A10A92" w:rsidRPr="3CEA2146">
        <w:rPr>
          <w:rStyle w:val="ListParagraphChar"/>
        </w:rPr>
        <w:t xml:space="preserve">been 11 issued since 2018 with a number of other local authorities warning it is a real risk for them also. </w:t>
      </w:r>
    </w:p>
    <w:p w14:paraId="6FF636F9" w14:textId="389F8C77" w:rsidR="00283533" w:rsidRDefault="0027562B" w:rsidP="0027562B">
      <w:pPr>
        <w:pStyle w:val="ListParagraph"/>
        <w:jc w:val="both"/>
        <w:rPr>
          <w:rStyle w:val="ListParagraphChar"/>
        </w:rPr>
      </w:pPr>
      <w:r>
        <w:rPr>
          <w:rStyle w:val="ListParagraphChar"/>
        </w:rPr>
        <w:t>T</w:t>
      </w:r>
      <w:r w:rsidR="00016F89">
        <w:rPr>
          <w:rStyle w:val="ListParagraphChar"/>
        </w:rPr>
        <w:t xml:space="preserve">he London Borough of Hackney </w:t>
      </w:r>
      <w:r w:rsidR="007A10C9">
        <w:rPr>
          <w:rStyle w:val="ListParagraphChar"/>
        </w:rPr>
        <w:t>issue</w:t>
      </w:r>
      <w:r>
        <w:rPr>
          <w:rStyle w:val="ListParagraphChar"/>
        </w:rPr>
        <w:t>d</w:t>
      </w:r>
      <w:r w:rsidR="007A10C9">
        <w:rPr>
          <w:rStyle w:val="ListParagraphChar"/>
        </w:rPr>
        <w:t xml:space="preserve"> one</w:t>
      </w:r>
      <w:r w:rsidR="00016F89">
        <w:rPr>
          <w:rStyle w:val="ListParagraphChar"/>
        </w:rPr>
        <w:t xml:space="preserve"> in October 2000.</w:t>
      </w:r>
      <w:r w:rsidR="005D04A7">
        <w:rPr>
          <w:rStyle w:val="ListParagraphChar"/>
        </w:rPr>
        <w:t xml:space="preserve"> This Section 114 </w:t>
      </w:r>
      <w:r w:rsidR="00FE01B5">
        <w:rPr>
          <w:rStyle w:val="ListParagraphChar"/>
        </w:rPr>
        <w:t xml:space="preserve">notice </w:t>
      </w:r>
      <w:r w:rsidR="005D04A7">
        <w:rPr>
          <w:rStyle w:val="ListParagraphChar"/>
        </w:rPr>
        <w:t xml:space="preserve">related to </w:t>
      </w:r>
      <w:r w:rsidR="00954D4E">
        <w:rPr>
          <w:rStyle w:val="ListParagraphChar"/>
        </w:rPr>
        <w:t>a gap of up to £15.5m in the General Fund and £2.2m overspend on the Housing Revenue Account (HRA)</w:t>
      </w:r>
      <w:r w:rsidR="004C51E3">
        <w:rPr>
          <w:rStyle w:val="ListParagraphChar"/>
        </w:rPr>
        <w:t>. Particular service areas of concern included Waste Management and Revenues and Benefits, which were each £3m</w:t>
      </w:r>
      <w:r w:rsidR="00B44C15">
        <w:rPr>
          <w:rStyle w:val="ListParagraphChar"/>
        </w:rPr>
        <w:t xml:space="preserve"> overspent</w:t>
      </w:r>
      <w:r>
        <w:rPr>
          <w:rStyle w:val="ListParagraphChar"/>
        </w:rPr>
        <w:t>;</w:t>
      </w:r>
      <w:r w:rsidR="00B44C15">
        <w:rPr>
          <w:rStyle w:val="ListParagraphChar"/>
        </w:rPr>
        <w:t xml:space="preserve"> and Transport Services which was £600k overspent.</w:t>
      </w:r>
      <w:r w:rsidR="00FE01B5">
        <w:rPr>
          <w:rStyle w:val="ListParagraphChar"/>
        </w:rPr>
        <w:t xml:space="preserve"> </w:t>
      </w:r>
    </w:p>
    <w:p w14:paraId="7F4C36E3" w14:textId="0BC07FEA" w:rsidR="009B45F9" w:rsidRDefault="005472F8" w:rsidP="009212DA">
      <w:pPr>
        <w:pStyle w:val="ListParagraph"/>
        <w:jc w:val="both"/>
        <w:rPr>
          <w:rStyle w:val="ListParagraphChar"/>
        </w:rPr>
      </w:pPr>
      <w:r>
        <w:rPr>
          <w:rStyle w:val="ListParagraphChar"/>
        </w:rPr>
        <w:t xml:space="preserve"> </w:t>
      </w:r>
      <w:r w:rsidR="00A10A92">
        <w:rPr>
          <w:rStyle w:val="ListParagraphChar"/>
        </w:rPr>
        <w:t>The</w:t>
      </w:r>
      <w:r w:rsidRPr="003E786C">
        <w:rPr>
          <w:rStyle w:val="ListParagraphChar"/>
        </w:rPr>
        <w:t xml:space="preserve"> Section 114 notices</w:t>
      </w:r>
      <w:r w:rsidRPr="70BFB7CE">
        <w:rPr>
          <w:rStyle w:val="ListParagraphChar"/>
        </w:rPr>
        <w:t xml:space="preserve"> </w:t>
      </w:r>
      <w:r w:rsidR="00A10A92">
        <w:rPr>
          <w:rStyle w:val="ListParagraphChar"/>
        </w:rPr>
        <w:t>issued since 2018 are as follows:</w:t>
      </w:r>
    </w:p>
    <w:p w14:paraId="15168DE5" w14:textId="77777777" w:rsidR="00645B40" w:rsidRDefault="00645B40" w:rsidP="00645B40">
      <w:pPr>
        <w:pStyle w:val="ListParagraph"/>
        <w:numPr>
          <w:ilvl w:val="0"/>
          <w:numId w:val="0"/>
        </w:numPr>
        <w:ind w:left="426"/>
        <w:rPr>
          <w:rStyle w:val="ListParagraphChar"/>
        </w:rPr>
      </w:pPr>
    </w:p>
    <w:tbl>
      <w:tblPr>
        <w:tblStyle w:val="TableGrid"/>
        <w:tblW w:w="0" w:type="auto"/>
        <w:tblInd w:w="426" w:type="dxa"/>
        <w:tblLook w:val="04A0" w:firstRow="1" w:lastRow="0" w:firstColumn="1" w:lastColumn="0" w:noHBand="0" w:noVBand="1"/>
      </w:tblPr>
      <w:tblGrid>
        <w:gridCol w:w="4460"/>
        <w:gridCol w:w="4402"/>
      </w:tblGrid>
      <w:tr w:rsidR="008814A1" w:rsidRPr="00DB4B5D" w14:paraId="685C8AC0" w14:textId="77777777" w:rsidTr="007418F6">
        <w:tc>
          <w:tcPr>
            <w:tcW w:w="4460" w:type="dxa"/>
          </w:tcPr>
          <w:p w14:paraId="6201EC05" w14:textId="48D31DDE" w:rsidR="008814A1" w:rsidRPr="00DB4B5D" w:rsidRDefault="008814A1" w:rsidP="008814A1">
            <w:pPr>
              <w:pStyle w:val="ListParagraph"/>
              <w:numPr>
                <w:ilvl w:val="0"/>
                <w:numId w:val="0"/>
              </w:numPr>
              <w:rPr>
                <w:rStyle w:val="ListParagraphChar"/>
                <w:b/>
                <w:bCs/>
              </w:rPr>
            </w:pPr>
            <w:r w:rsidRPr="00DB4B5D">
              <w:rPr>
                <w:rStyle w:val="ListParagraphChar"/>
                <w:b/>
                <w:bCs/>
              </w:rPr>
              <w:t>Local Authority</w:t>
            </w:r>
          </w:p>
        </w:tc>
        <w:tc>
          <w:tcPr>
            <w:tcW w:w="4402" w:type="dxa"/>
          </w:tcPr>
          <w:p w14:paraId="7EC861CA" w14:textId="34E8FBF3" w:rsidR="008814A1" w:rsidRPr="00DB4B5D" w:rsidRDefault="008814A1" w:rsidP="008814A1">
            <w:pPr>
              <w:pStyle w:val="ListParagraph"/>
              <w:numPr>
                <w:ilvl w:val="0"/>
                <w:numId w:val="0"/>
              </w:numPr>
              <w:rPr>
                <w:rStyle w:val="ListParagraphChar"/>
                <w:b/>
                <w:bCs/>
              </w:rPr>
            </w:pPr>
            <w:r w:rsidRPr="00DB4B5D">
              <w:rPr>
                <w:rStyle w:val="ListParagraphChar"/>
                <w:b/>
                <w:bCs/>
              </w:rPr>
              <w:t>Date Section 114 Notice Issued</w:t>
            </w:r>
          </w:p>
        </w:tc>
      </w:tr>
      <w:tr w:rsidR="008814A1" w14:paraId="37211EA2" w14:textId="77777777" w:rsidTr="007418F6">
        <w:tc>
          <w:tcPr>
            <w:tcW w:w="4460" w:type="dxa"/>
          </w:tcPr>
          <w:p w14:paraId="4143D811" w14:textId="0CF4B996" w:rsidR="008814A1" w:rsidRDefault="008814A1" w:rsidP="008814A1">
            <w:pPr>
              <w:pStyle w:val="ListParagraph"/>
              <w:numPr>
                <w:ilvl w:val="0"/>
                <w:numId w:val="0"/>
              </w:numPr>
              <w:rPr>
                <w:rStyle w:val="ListParagraphChar"/>
              </w:rPr>
            </w:pPr>
            <w:r>
              <w:rPr>
                <w:rStyle w:val="ListParagraphChar"/>
              </w:rPr>
              <w:t>Northamptonshire County Council</w:t>
            </w:r>
          </w:p>
        </w:tc>
        <w:tc>
          <w:tcPr>
            <w:tcW w:w="4402" w:type="dxa"/>
          </w:tcPr>
          <w:p w14:paraId="62C4E8BA" w14:textId="1B473DC3" w:rsidR="008814A1" w:rsidRDefault="00DB4B5D" w:rsidP="0082437C">
            <w:pPr>
              <w:pStyle w:val="ListParagraph"/>
              <w:numPr>
                <w:ilvl w:val="0"/>
                <w:numId w:val="0"/>
              </w:numPr>
              <w:jc w:val="right"/>
              <w:rPr>
                <w:rStyle w:val="ListParagraphChar"/>
              </w:rPr>
            </w:pPr>
            <w:r>
              <w:rPr>
                <w:rStyle w:val="ListParagraphChar"/>
              </w:rPr>
              <w:t>02 February 2018</w:t>
            </w:r>
          </w:p>
        </w:tc>
      </w:tr>
      <w:tr w:rsidR="008814A1" w14:paraId="0DCD9228" w14:textId="77777777" w:rsidTr="007418F6">
        <w:tc>
          <w:tcPr>
            <w:tcW w:w="4460" w:type="dxa"/>
          </w:tcPr>
          <w:p w14:paraId="2D9C3C7D" w14:textId="3780980D" w:rsidR="008814A1" w:rsidRDefault="008814A1" w:rsidP="008814A1">
            <w:pPr>
              <w:pStyle w:val="ListParagraph"/>
              <w:numPr>
                <w:ilvl w:val="0"/>
                <w:numId w:val="0"/>
              </w:numPr>
              <w:rPr>
                <w:rStyle w:val="ListParagraphChar"/>
              </w:rPr>
            </w:pPr>
            <w:r>
              <w:rPr>
                <w:rStyle w:val="ListParagraphChar"/>
              </w:rPr>
              <w:t>Northamptonshire County Council</w:t>
            </w:r>
          </w:p>
        </w:tc>
        <w:tc>
          <w:tcPr>
            <w:tcW w:w="4402" w:type="dxa"/>
          </w:tcPr>
          <w:p w14:paraId="5DC9479F" w14:textId="408D4828" w:rsidR="008814A1" w:rsidRDefault="00DB4B5D" w:rsidP="0082437C">
            <w:pPr>
              <w:pStyle w:val="ListParagraph"/>
              <w:numPr>
                <w:ilvl w:val="0"/>
                <w:numId w:val="0"/>
              </w:numPr>
              <w:jc w:val="right"/>
              <w:rPr>
                <w:rStyle w:val="ListParagraphChar"/>
              </w:rPr>
            </w:pPr>
            <w:r>
              <w:rPr>
                <w:rStyle w:val="ListParagraphChar"/>
              </w:rPr>
              <w:t>24 July 2018</w:t>
            </w:r>
          </w:p>
        </w:tc>
      </w:tr>
      <w:tr w:rsidR="008814A1" w14:paraId="008082DB" w14:textId="77777777" w:rsidTr="007418F6">
        <w:tc>
          <w:tcPr>
            <w:tcW w:w="4460" w:type="dxa"/>
          </w:tcPr>
          <w:p w14:paraId="276DF1E9" w14:textId="0686BCDA" w:rsidR="008814A1" w:rsidRDefault="008814A1" w:rsidP="008814A1">
            <w:pPr>
              <w:pStyle w:val="ListParagraph"/>
              <w:numPr>
                <w:ilvl w:val="0"/>
                <w:numId w:val="0"/>
              </w:numPr>
              <w:rPr>
                <w:rStyle w:val="ListParagraphChar"/>
              </w:rPr>
            </w:pPr>
            <w:r>
              <w:rPr>
                <w:rStyle w:val="ListParagraphChar"/>
              </w:rPr>
              <w:t>Croydon Borough Council</w:t>
            </w:r>
          </w:p>
        </w:tc>
        <w:tc>
          <w:tcPr>
            <w:tcW w:w="4402" w:type="dxa"/>
          </w:tcPr>
          <w:p w14:paraId="3FE648B8" w14:textId="5A4AE23F" w:rsidR="008814A1" w:rsidRDefault="00DB4B5D" w:rsidP="0082437C">
            <w:pPr>
              <w:pStyle w:val="ListParagraph"/>
              <w:numPr>
                <w:ilvl w:val="0"/>
                <w:numId w:val="0"/>
              </w:numPr>
              <w:jc w:val="right"/>
              <w:rPr>
                <w:rStyle w:val="ListParagraphChar"/>
              </w:rPr>
            </w:pPr>
            <w:r>
              <w:rPr>
                <w:rStyle w:val="ListParagraphChar"/>
              </w:rPr>
              <w:t>11 November 2020</w:t>
            </w:r>
          </w:p>
        </w:tc>
      </w:tr>
      <w:tr w:rsidR="00A71304" w14:paraId="0C0F9781" w14:textId="77777777" w:rsidTr="007418F6">
        <w:tc>
          <w:tcPr>
            <w:tcW w:w="4460" w:type="dxa"/>
          </w:tcPr>
          <w:p w14:paraId="1ED62393" w14:textId="698014F1" w:rsidR="00A71304" w:rsidRDefault="00A71304" w:rsidP="008814A1">
            <w:pPr>
              <w:pStyle w:val="ListParagraph"/>
              <w:numPr>
                <w:ilvl w:val="0"/>
                <w:numId w:val="0"/>
              </w:numPr>
              <w:rPr>
                <w:rStyle w:val="ListParagraphChar"/>
              </w:rPr>
            </w:pPr>
            <w:r>
              <w:rPr>
                <w:rStyle w:val="ListParagraphChar"/>
              </w:rPr>
              <w:t>Croydon Borough Council</w:t>
            </w:r>
          </w:p>
        </w:tc>
        <w:tc>
          <w:tcPr>
            <w:tcW w:w="4402" w:type="dxa"/>
          </w:tcPr>
          <w:p w14:paraId="181F83CA" w14:textId="2A0ED99B" w:rsidR="00A71304" w:rsidRDefault="00A71304" w:rsidP="0082437C">
            <w:pPr>
              <w:pStyle w:val="ListParagraph"/>
              <w:numPr>
                <w:ilvl w:val="0"/>
                <w:numId w:val="0"/>
              </w:numPr>
              <w:jc w:val="right"/>
              <w:rPr>
                <w:rStyle w:val="ListParagraphChar"/>
              </w:rPr>
            </w:pPr>
            <w:r>
              <w:rPr>
                <w:rStyle w:val="ListParagraphChar"/>
              </w:rPr>
              <w:t>02 December 2020</w:t>
            </w:r>
          </w:p>
        </w:tc>
      </w:tr>
      <w:tr w:rsidR="008814A1" w14:paraId="1B9FB027" w14:textId="77777777" w:rsidTr="007418F6">
        <w:tc>
          <w:tcPr>
            <w:tcW w:w="4460" w:type="dxa"/>
          </w:tcPr>
          <w:p w14:paraId="67F880CF" w14:textId="44952A2E" w:rsidR="008814A1" w:rsidRDefault="00877671" w:rsidP="008814A1">
            <w:pPr>
              <w:pStyle w:val="ListParagraph"/>
              <w:numPr>
                <w:ilvl w:val="0"/>
                <w:numId w:val="0"/>
              </w:numPr>
              <w:rPr>
                <w:rStyle w:val="ListParagraphChar"/>
              </w:rPr>
            </w:pPr>
            <w:r>
              <w:rPr>
                <w:rStyle w:val="ListParagraphChar"/>
              </w:rPr>
              <w:t>Slough Borough Council</w:t>
            </w:r>
          </w:p>
        </w:tc>
        <w:tc>
          <w:tcPr>
            <w:tcW w:w="4402" w:type="dxa"/>
          </w:tcPr>
          <w:p w14:paraId="43728687" w14:textId="213AAFF4" w:rsidR="008814A1" w:rsidRDefault="00600AC8" w:rsidP="0082437C">
            <w:pPr>
              <w:pStyle w:val="ListParagraph"/>
              <w:numPr>
                <w:ilvl w:val="0"/>
                <w:numId w:val="0"/>
              </w:numPr>
              <w:jc w:val="right"/>
              <w:rPr>
                <w:rStyle w:val="ListParagraphChar"/>
              </w:rPr>
            </w:pPr>
            <w:r>
              <w:rPr>
                <w:rStyle w:val="ListParagraphChar"/>
              </w:rPr>
              <w:t>02 July 2021</w:t>
            </w:r>
          </w:p>
        </w:tc>
      </w:tr>
      <w:tr w:rsidR="00877671" w14:paraId="4862A4F3" w14:textId="77777777" w:rsidTr="007418F6">
        <w:tc>
          <w:tcPr>
            <w:tcW w:w="4460" w:type="dxa"/>
          </w:tcPr>
          <w:p w14:paraId="61018C77" w14:textId="3CB1E63E" w:rsidR="00877671" w:rsidRDefault="00877671" w:rsidP="008814A1">
            <w:pPr>
              <w:pStyle w:val="ListParagraph"/>
              <w:numPr>
                <w:ilvl w:val="0"/>
                <w:numId w:val="0"/>
              </w:numPr>
              <w:rPr>
                <w:rStyle w:val="ListParagraphChar"/>
              </w:rPr>
            </w:pPr>
            <w:r>
              <w:rPr>
                <w:rStyle w:val="ListParagraphChar"/>
              </w:rPr>
              <w:t>Nottingham City Council</w:t>
            </w:r>
          </w:p>
        </w:tc>
        <w:tc>
          <w:tcPr>
            <w:tcW w:w="4402" w:type="dxa"/>
          </w:tcPr>
          <w:p w14:paraId="13769C9B" w14:textId="2BB88126" w:rsidR="00877671" w:rsidRDefault="007418F6" w:rsidP="0082437C">
            <w:pPr>
              <w:pStyle w:val="ListParagraph"/>
              <w:numPr>
                <w:ilvl w:val="0"/>
                <w:numId w:val="0"/>
              </w:numPr>
              <w:jc w:val="right"/>
              <w:rPr>
                <w:rStyle w:val="ListParagraphChar"/>
              </w:rPr>
            </w:pPr>
            <w:r>
              <w:rPr>
                <w:rStyle w:val="ListParagraphChar"/>
              </w:rPr>
              <w:t>15 December 2021</w:t>
            </w:r>
          </w:p>
        </w:tc>
      </w:tr>
      <w:tr w:rsidR="00877671" w14:paraId="5278D730" w14:textId="77777777" w:rsidTr="007418F6">
        <w:tc>
          <w:tcPr>
            <w:tcW w:w="4460" w:type="dxa"/>
          </w:tcPr>
          <w:p w14:paraId="475633D5" w14:textId="59A6C83B" w:rsidR="00877671" w:rsidRDefault="00877671" w:rsidP="008814A1">
            <w:pPr>
              <w:pStyle w:val="ListParagraph"/>
              <w:numPr>
                <w:ilvl w:val="0"/>
                <w:numId w:val="0"/>
              </w:numPr>
              <w:rPr>
                <w:rStyle w:val="ListParagraphChar"/>
              </w:rPr>
            </w:pPr>
            <w:r>
              <w:rPr>
                <w:rStyle w:val="ListParagraphChar"/>
              </w:rPr>
              <w:t>Northumberland Council</w:t>
            </w:r>
          </w:p>
        </w:tc>
        <w:tc>
          <w:tcPr>
            <w:tcW w:w="4402" w:type="dxa"/>
          </w:tcPr>
          <w:p w14:paraId="510F4938" w14:textId="2787DBE2" w:rsidR="00877671" w:rsidRDefault="00B56CCA" w:rsidP="0082437C">
            <w:pPr>
              <w:pStyle w:val="ListParagraph"/>
              <w:numPr>
                <w:ilvl w:val="0"/>
                <w:numId w:val="0"/>
              </w:numPr>
              <w:jc w:val="right"/>
              <w:rPr>
                <w:rStyle w:val="ListParagraphChar"/>
              </w:rPr>
            </w:pPr>
            <w:r>
              <w:rPr>
                <w:rStyle w:val="ListParagraphChar"/>
              </w:rPr>
              <w:t>23 May 2022</w:t>
            </w:r>
          </w:p>
        </w:tc>
      </w:tr>
      <w:tr w:rsidR="00877671" w14:paraId="10CF87DF" w14:textId="77777777" w:rsidTr="007418F6">
        <w:tc>
          <w:tcPr>
            <w:tcW w:w="4460" w:type="dxa"/>
          </w:tcPr>
          <w:p w14:paraId="6878C75B" w14:textId="2BB8694B" w:rsidR="00877671" w:rsidRDefault="00877671" w:rsidP="008814A1">
            <w:pPr>
              <w:pStyle w:val="ListParagraph"/>
              <w:numPr>
                <w:ilvl w:val="0"/>
                <w:numId w:val="0"/>
              </w:numPr>
              <w:rPr>
                <w:rStyle w:val="ListParagraphChar"/>
              </w:rPr>
            </w:pPr>
            <w:r>
              <w:rPr>
                <w:rStyle w:val="ListParagraphChar"/>
              </w:rPr>
              <w:t>C</w:t>
            </w:r>
            <w:r w:rsidR="00DB4B5D">
              <w:rPr>
                <w:rStyle w:val="ListParagraphChar"/>
              </w:rPr>
              <w:t>roydon Borough Council</w:t>
            </w:r>
          </w:p>
        </w:tc>
        <w:tc>
          <w:tcPr>
            <w:tcW w:w="4402" w:type="dxa"/>
          </w:tcPr>
          <w:p w14:paraId="7C84E198" w14:textId="7B3E0137" w:rsidR="00877671" w:rsidRDefault="00B56CCA" w:rsidP="0082437C">
            <w:pPr>
              <w:pStyle w:val="ListParagraph"/>
              <w:numPr>
                <w:ilvl w:val="0"/>
                <w:numId w:val="0"/>
              </w:numPr>
              <w:jc w:val="right"/>
              <w:rPr>
                <w:rStyle w:val="ListParagraphChar"/>
              </w:rPr>
            </w:pPr>
            <w:r>
              <w:rPr>
                <w:rStyle w:val="ListParagraphChar"/>
              </w:rPr>
              <w:t>22 November 2022</w:t>
            </w:r>
          </w:p>
        </w:tc>
      </w:tr>
      <w:tr w:rsidR="00DB4B5D" w14:paraId="332B0D0B" w14:textId="77777777" w:rsidTr="007418F6">
        <w:tc>
          <w:tcPr>
            <w:tcW w:w="4460" w:type="dxa"/>
          </w:tcPr>
          <w:p w14:paraId="64CC2597" w14:textId="1367C604" w:rsidR="00DB4B5D" w:rsidRDefault="00DB4B5D" w:rsidP="008814A1">
            <w:pPr>
              <w:pStyle w:val="ListParagraph"/>
              <w:numPr>
                <w:ilvl w:val="0"/>
                <w:numId w:val="0"/>
              </w:numPr>
              <w:rPr>
                <w:rStyle w:val="ListParagraphChar"/>
              </w:rPr>
            </w:pPr>
            <w:r>
              <w:rPr>
                <w:rStyle w:val="ListParagraphChar"/>
              </w:rPr>
              <w:t>Thurrock Borough Council</w:t>
            </w:r>
          </w:p>
        </w:tc>
        <w:tc>
          <w:tcPr>
            <w:tcW w:w="4402" w:type="dxa"/>
          </w:tcPr>
          <w:p w14:paraId="06CAF524" w14:textId="5166DE95" w:rsidR="00DB4B5D" w:rsidRDefault="00B56CCA" w:rsidP="0082437C">
            <w:pPr>
              <w:pStyle w:val="ListParagraph"/>
              <w:numPr>
                <w:ilvl w:val="0"/>
                <w:numId w:val="0"/>
              </w:numPr>
              <w:jc w:val="right"/>
              <w:rPr>
                <w:rStyle w:val="ListParagraphChar"/>
              </w:rPr>
            </w:pPr>
            <w:r>
              <w:rPr>
                <w:rStyle w:val="ListParagraphChar"/>
              </w:rPr>
              <w:t>18 December 2022</w:t>
            </w:r>
          </w:p>
        </w:tc>
      </w:tr>
      <w:tr w:rsidR="00B56CCA" w14:paraId="57174E2E" w14:textId="77777777" w:rsidTr="007418F6">
        <w:tc>
          <w:tcPr>
            <w:tcW w:w="4460" w:type="dxa"/>
          </w:tcPr>
          <w:p w14:paraId="723BF442" w14:textId="1F02B600" w:rsidR="00B56CCA" w:rsidRDefault="00930AC8" w:rsidP="008814A1">
            <w:pPr>
              <w:pStyle w:val="ListParagraph"/>
              <w:numPr>
                <w:ilvl w:val="0"/>
                <w:numId w:val="0"/>
              </w:numPr>
              <w:rPr>
                <w:rStyle w:val="ListParagraphChar"/>
              </w:rPr>
            </w:pPr>
            <w:r>
              <w:rPr>
                <w:rStyle w:val="ListParagraphChar"/>
              </w:rPr>
              <w:t>Woking Borough Council</w:t>
            </w:r>
          </w:p>
        </w:tc>
        <w:tc>
          <w:tcPr>
            <w:tcW w:w="4402" w:type="dxa"/>
          </w:tcPr>
          <w:p w14:paraId="01167F1E" w14:textId="0EFB999B" w:rsidR="00B56CCA" w:rsidRDefault="00BB4EBD" w:rsidP="0082437C">
            <w:pPr>
              <w:pStyle w:val="ListParagraph"/>
              <w:numPr>
                <w:ilvl w:val="0"/>
                <w:numId w:val="0"/>
              </w:numPr>
              <w:jc w:val="right"/>
              <w:rPr>
                <w:rStyle w:val="ListParagraphChar"/>
              </w:rPr>
            </w:pPr>
            <w:r>
              <w:rPr>
                <w:rStyle w:val="ListParagraphChar"/>
              </w:rPr>
              <w:t>07 June 2023</w:t>
            </w:r>
          </w:p>
        </w:tc>
      </w:tr>
      <w:tr w:rsidR="00BB4EBD" w14:paraId="317D664F" w14:textId="77777777" w:rsidTr="007418F6">
        <w:tc>
          <w:tcPr>
            <w:tcW w:w="4460" w:type="dxa"/>
          </w:tcPr>
          <w:p w14:paraId="7ACE69D1" w14:textId="422C71F2" w:rsidR="00BB4EBD" w:rsidRDefault="00BB4EBD" w:rsidP="008814A1">
            <w:pPr>
              <w:pStyle w:val="ListParagraph"/>
              <w:numPr>
                <w:ilvl w:val="0"/>
                <w:numId w:val="0"/>
              </w:numPr>
              <w:rPr>
                <w:rStyle w:val="ListParagraphChar"/>
              </w:rPr>
            </w:pPr>
            <w:r>
              <w:rPr>
                <w:rStyle w:val="ListParagraphChar"/>
              </w:rPr>
              <w:t>Birmingham City Council</w:t>
            </w:r>
          </w:p>
        </w:tc>
        <w:tc>
          <w:tcPr>
            <w:tcW w:w="4402" w:type="dxa"/>
          </w:tcPr>
          <w:p w14:paraId="5BBE6033" w14:textId="61B43903" w:rsidR="00BB4EBD" w:rsidRDefault="00BB4EBD" w:rsidP="0082437C">
            <w:pPr>
              <w:pStyle w:val="ListParagraph"/>
              <w:numPr>
                <w:ilvl w:val="0"/>
                <w:numId w:val="0"/>
              </w:numPr>
              <w:jc w:val="right"/>
              <w:rPr>
                <w:rStyle w:val="ListParagraphChar"/>
              </w:rPr>
            </w:pPr>
            <w:r>
              <w:rPr>
                <w:rStyle w:val="ListParagraphChar"/>
              </w:rPr>
              <w:t>05 September 2023</w:t>
            </w:r>
          </w:p>
        </w:tc>
      </w:tr>
    </w:tbl>
    <w:p w14:paraId="63CEA9E9" w14:textId="77777777" w:rsidR="008814A1" w:rsidRDefault="008814A1" w:rsidP="008814A1">
      <w:pPr>
        <w:pStyle w:val="ListParagraph"/>
        <w:numPr>
          <w:ilvl w:val="0"/>
          <w:numId w:val="0"/>
        </w:numPr>
        <w:ind w:left="426"/>
        <w:rPr>
          <w:rStyle w:val="ListParagraphChar"/>
        </w:rPr>
      </w:pPr>
    </w:p>
    <w:p w14:paraId="33D02432" w14:textId="3371AA02" w:rsidR="00757893" w:rsidRDefault="00757893" w:rsidP="009212DA">
      <w:pPr>
        <w:pStyle w:val="ListParagraph"/>
        <w:jc w:val="both"/>
        <w:rPr>
          <w:rStyle w:val="ListParagraphChar"/>
        </w:rPr>
      </w:pPr>
      <w:r w:rsidRPr="70BFB7CE">
        <w:rPr>
          <w:rStyle w:val="ListParagraphChar"/>
        </w:rPr>
        <w:t>A summary of the</w:t>
      </w:r>
      <w:r w:rsidR="007F6C22" w:rsidRPr="70BFB7CE">
        <w:rPr>
          <w:rStyle w:val="ListParagraphChar"/>
        </w:rPr>
        <w:t xml:space="preserve"> main circu</w:t>
      </w:r>
      <w:r w:rsidRPr="70BFB7CE">
        <w:rPr>
          <w:rStyle w:val="ListParagraphChar"/>
        </w:rPr>
        <w:t xml:space="preserve">mstances </w:t>
      </w:r>
      <w:r w:rsidR="005E7B33" w:rsidRPr="70BFB7CE">
        <w:rPr>
          <w:rStyle w:val="ListParagraphChar"/>
        </w:rPr>
        <w:t>cited for</w:t>
      </w:r>
      <w:r w:rsidR="0013699A" w:rsidRPr="70BFB7CE">
        <w:rPr>
          <w:rStyle w:val="ListParagraphChar"/>
        </w:rPr>
        <w:t xml:space="preserve"> each of the authorities listed above issu</w:t>
      </w:r>
      <w:r w:rsidR="005E7B33" w:rsidRPr="70BFB7CE">
        <w:rPr>
          <w:rStyle w:val="ListParagraphChar"/>
        </w:rPr>
        <w:t>ing</w:t>
      </w:r>
      <w:r w:rsidR="0013699A" w:rsidRPr="70BFB7CE">
        <w:rPr>
          <w:rStyle w:val="ListParagraphChar"/>
        </w:rPr>
        <w:t xml:space="preserve"> a Section 114 notice is summarised </w:t>
      </w:r>
      <w:r w:rsidR="00961DDD" w:rsidRPr="70BFB7CE">
        <w:rPr>
          <w:rStyle w:val="ListParagraphChar"/>
        </w:rPr>
        <w:t xml:space="preserve">at </w:t>
      </w:r>
      <w:r w:rsidR="00961DDD" w:rsidRPr="003E786C">
        <w:rPr>
          <w:rStyle w:val="ListParagraphChar"/>
          <w:b/>
          <w:bCs/>
        </w:rPr>
        <w:t>Appendix A</w:t>
      </w:r>
      <w:r w:rsidR="00961DDD" w:rsidRPr="003E786C">
        <w:rPr>
          <w:rStyle w:val="ListParagraphChar"/>
        </w:rPr>
        <w:t>.</w:t>
      </w:r>
      <w:r w:rsidR="00C07143" w:rsidRPr="003E786C">
        <w:rPr>
          <w:rStyle w:val="ListParagraphChar"/>
        </w:rPr>
        <w:t xml:space="preserve"> I</w:t>
      </w:r>
      <w:r w:rsidR="00C07143" w:rsidRPr="70BFB7CE">
        <w:rPr>
          <w:rStyle w:val="ListParagraphChar"/>
        </w:rPr>
        <w:t>t is interesting to note that a key theme for these authorities is excessive borrowing that has become unaffordable. When times were good this borrowing was</w:t>
      </w:r>
      <w:r w:rsidR="0027562B">
        <w:rPr>
          <w:rStyle w:val="ListParagraphChar"/>
        </w:rPr>
        <w:t>,</w:t>
      </w:r>
      <w:r w:rsidR="00C07143" w:rsidRPr="70BFB7CE">
        <w:rPr>
          <w:rStyle w:val="ListParagraphChar"/>
        </w:rPr>
        <w:t xml:space="preserve"> in most cases</w:t>
      </w:r>
      <w:r w:rsidR="0027562B">
        <w:rPr>
          <w:rStyle w:val="ListParagraphChar"/>
        </w:rPr>
        <w:t>,</w:t>
      </w:r>
      <w:r w:rsidR="00C07143" w:rsidRPr="70BFB7CE">
        <w:rPr>
          <w:rStyle w:val="ListParagraphChar"/>
        </w:rPr>
        <w:t xml:space="preserve"> paying for </w:t>
      </w:r>
      <w:r w:rsidR="00C07143" w:rsidRPr="70BFB7CE">
        <w:rPr>
          <w:rStyle w:val="ListParagraphChar"/>
        </w:rPr>
        <w:lastRenderedPageBreak/>
        <w:t>itself and delivering a surplus to be ploughed back into service</w:t>
      </w:r>
      <w:r w:rsidR="2F1CADB2" w:rsidRPr="70BFB7CE">
        <w:rPr>
          <w:rStyle w:val="ListParagraphChar"/>
        </w:rPr>
        <w:t>s</w:t>
      </w:r>
      <w:r w:rsidR="00C07143" w:rsidRPr="70BFB7CE">
        <w:rPr>
          <w:rStyle w:val="ListParagraphChar"/>
        </w:rPr>
        <w:t xml:space="preserve"> allowing these authorities to avoid taking the difficult decisions that were being taken elsewhere. </w:t>
      </w:r>
    </w:p>
    <w:p w14:paraId="5A8BC07B" w14:textId="1F0F84BD" w:rsidR="00391190" w:rsidRDefault="002009AE" w:rsidP="009212DA">
      <w:pPr>
        <w:pStyle w:val="ListParagraph"/>
        <w:jc w:val="both"/>
        <w:rPr>
          <w:rStyle w:val="ListParagraphChar"/>
        </w:rPr>
      </w:pPr>
      <w:r>
        <w:rPr>
          <w:rStyle w:val="ListParagraphChar"/>
        </w:rPr>
        <w:t>A</w:t>
      </w:r>
      <w:r w:rsidR="008A1B14">
        <w:rPr>
          <w:rStyle w:val="ListParagraphChar"/>
        </w:rPr>
        <w:t>n increasing</w:t>
      </w:r>
      <w:r>
        <w:rPr>
          <w:rStyle w:val="ListParagraphChar"/>
        </w:rPr>
        <w:t xml:space="preserve"> number of other local authorities </w:t>
      </w:r>
      <w:r w:rsidR="00197B52">
        <w:rPr>
          <w:rStyle w:val="ListParagraphChar"/>
        </w:rPr>
        <w:t>have announced that they are at risk of having to issue a Section 114 notice</w:t>
      </w:r>
      <w:r w:rsidR="00007842">
        <w:rPr>
          <w:rStyle w:val="ListParagraphChar"/>
        </w:rPr>
        <w:t xml:space="preserve">, including </w:t>
      </w:r>
      <w:r w:rsidR="008A1B14">
        <w:rPr>
          <w:rStyle w:val="ListParagraphChar"/>
        </w:rPr>
        <w:t>Hastings Borough Council, Stoke</w:t>
      </w:r>
      <w:r w:rsidR="006F172E">
        <w:rPr>
          <w:rStyle w:val="ListParagraphChar"/>
        </w:rPr>
        <w:t>-</w:t>
      </w:r>
      <w:r w:rsidR="008A1B14">
        <w:rPr>
          <w:rStyle w:val="ListParagraphChar"/>
        </w:rPr>
        <w:t>on</w:t>
      </w:r>
      <w:r w:rsidR="006F172E">
        <w:rPr>
          <w:rStyle w:val="ListParagraphChar"/>
        </w:rPr>
        <w:t>-</w:t>
      </w:r>
      <w:r w:rsidR="008A1B14">
        <w:rPr>
          <w:rStyle w:val="ListParagraphChar"/>
        </w:rPr>
        <w:t>Trent</w:t>
      </w:r>
      <w:r w:rsidR="006F172E">
        <w:rPr>
          <w:rStyle w:val="ListParagraphChar"/>
        </w:rPr>
        <w:t xml:space="preserve"> City Council</w:t>
      </w:r>
      <w:r w:rsidR="00C03B6A">
        <w:rPr>
          <w:rStyle w:val="ListParagraphChar"/>
        </w:rPr>
        <w:t>, Southampton City Council</w:t>
      </w:r>
      <w:r w:rsidR="00C07143">
        <w:rPr>
          <w:rStyle w:val="ListParagraphChar"/>
        </w:rPr>
        <w:t>, Guildford Borough Council</w:t>
      </w:r>
      <w:r w:rsidR="00C03B6A">
        <w:rPr>
          <w:rStyle w:val="ListParagraphChar"/>
        </w:rPr>
        <w:t xml:space="preserve"> </w:t>
      </w:r>
      <w:r w:rsidR="00685730">
        <w:rPr>
          <w:rStyle w:val="ListParagraphChar"/>
        </w:rPr>
        <w:t xml:space="preserve">and many others across the country. </w:t>
      </w:r>
      <w:r w:rsidR="0067417F">
        <w:rPr>
          <w:rStyle w:val="ListParagraphChar"/>
        </w:rPr>
        <w:t xml:space="preserve">Coventry City reportedly wrote to the </w:t>
      </w:r>
      <w:r w:rsidR="0027562B">
        <w:rPr>
          <w:rStyle w:val="ListParagraphChar"/>
        </w:rPr>
        <w:t>S</w:t>
      </w:r>
      <w:r w:rsidR="0067417F">
        <w:rPr>
          <w:rStyle w:val="ListParagraphChar"/>
        </w:rPr>
        <w:t xml:space="preserve">ecretary of </w:t>
      </w:r>
      <w:r w:rsidR="0027562B">
        <w:rPr>
          <w:rStyle w:val="ListParagraphChar"/>
        </w:rPr>
        <w:t>S</w:t>
      </w:r>
      <w:r w:rsidR="0067417F">
        <w:rPr>
          <w:rStyle w:val="ListParagraphChar"/>
        </w:rPr>
        <w:t xml:space="preserve">tate Michael Gove, warning ‘local government stands </w:t>
      </w:r>
      <w:r w:rsidR="00391190">
        <w:rPr>
          <w:rStyle w:val="ListParagraphChar"/>
        </w:rPr>
        <w:t xml:space="preserve">on the precipice of a disaster’. </w:t>
      </w:r>
    </w:p>
    <w:p w14:paraId="77A62C26" w14:textId="4EE34B2B" w:rsidR="002009AE" w:rsidRDefault="00391190" w:rsidP="009212DA">
      <w:pPr>
        <w:pStyle w:val="ListParagraph"/>
        <w:jc w:val="both"/>
        <w:rPr>
          <w:rStyle w:val="ListParagraphChar"/>
        </w:rPr>
      </w:pPr>
      <w:r>
        <w:rPr>
          <w:rStyle w:val="ListParagraphChar"/>
        </w:rPr>
        <w:t xml:space="preserve">A recent survey of Municipal authorities found that 47 authorities feared having to issue a Section 114 notice this year and a further 9 next year.  </w:t>
      </w:r>
    </w:p>
    <w:p w14:paraId="3D70D89B" w14:textId="3D430255" w:rsidR="00F944F0" w:rsidRDefault="00F944F0" w:rsidP="00F944F0">
      <w:pPr>
        <w:rPr>
          <w:rStyle w:val="ListParagraphChar"/>
          <w:b/>
          <w:bCs/>
        </w:rPr>
      </w:pPr>
      <w:r>
        <w:rPr>
          <w:rStyle w:val="ListParagraphChar"/>
          <w:b/>
          <w:bCs/>
        </w:rPr>
        <w:t>Analysis</w:t>
      </w:r>
    </w:p>
    <w:p w14:paraId="519A5FD3" w14:textId="772AC623" w:rsidR="00F944F0" w:rsidRDefault="00C210F2" w:rsidP="009212DA">
      <w:pPr>
        <w:pStyle w:val="ListParagraph"/>
        <w:jc w:val="both"/>
        <w:rPr>
          <w:rStyle w:val="ListParagraphChar"/>
        </w:rPr>
      </w:pPr>
      <w:r>
        <w:rPr>
          <w:rStyle w:val="ListParagraphChar"/>
        </w:rPr>
        <w:t xml:space="preserve">When considering the circumstances behind local authorities issuing Section 114 notices, a number of </w:t>
      </w:r>
      <w:r w:rsidR="00A37EDB">
        <w:rPr>
          <w:rStyle w:val="ListParagraphChar"/>
        </w:rPr>
        <w:t>recurr</w:t>
      </w:r>
      <w:r w:rsidR="00454A7B">
        <w:rPr>
          <w:rStyle w:val="ListParagraphChar"/>
        </w:rPr>
        <w:t xml:space="preserve">ent </w:t>
      </w:r>
      <w:r w:rsidR="00A37EDB">
        <w:rPr>
          <w:rStyle w:val="ListParagraphChar"/>
        </w:rPr>
        <w:t xml:space="preserve">themes emerge. These </w:t>
      </w:r>
      <w:r w:rsidR="00354ACE">
        <w:rPr>
          <w:rStyle w:val="ListParagraphChar"/>
        </w:rPr>
        <w:t xml:space="preserve">broadly </w:t>
      </w:r>
      <w:r w:rsidR="00A37EDB">
        <w:rPr>
          <w:rStyle w:val="ListParagraphChar"/>
        </w:rPr>
        <w:t>relate to:</w:t>
      </w:r>
    </w:p>
    <w:p w14:paraId="27C237D8" w14:textId="2BE92E76" w:rsidR="00A37EDB" w:rsidRDefault="00A37EDB" w:rsidP="00A3168E">
      <w:pPr>
        <w:pStyle w:val="ListParagraph"/>
        <w:numPr>
          <w:ilvl w:val="0"/>
          <w:numId w:val="5"/>
        </w:numPr>
        <w:spacing w:after="0"/>
        <w:jc w:val="both"/>
        <w:rPr>
          <w:rStyle w:val="ListParagraphChar"/>
        </w:rPr>
      </w:pPr>
      <w:r>
        <w:rPr>
          <w:rStyle w:val="ListParagraphChar"/>
        </w:rPr>
        <w:t>Poor, or lack of financial controls/management</w:t>
      </w:r>
      <w:r w:rsidR="00EB1D5B">
        <w:rPr>
          <w:rStyle w:val="ListParagraphChar"/>
        </w:rPr>
        <w:t xml:space="preserve"> at senior officer and councillor level</w:t>
      </w:r>
    </w:p>
    <w:p w14:paraId="3914E072" w14:textId="6B4D36D6" w:rsidR="00A37EDB" w:rsidRDefault="00A37EDB" w:rsidP="00A3168E">
      <w:pPr>
        <w:pStyle w:val="ListParagraph"/>
        <w:numPr>
          <w:ilvl w:val="0"/>
          <w:numId w:val="5"/>
        </w:numPr>
        <w:spacing w:after="0"/>
        <w:jc w:val="both"/>
        <w:rPr>
          <w:rStyle w:val="ListParagraphChar"/>
        </w:rPr>
      </w:pPr>
      <w:r>
        <w:rPr>
          <w:rStyle w:val="ListParagraphChar"/>
        </w:rPr>
        <w:t xml:space="preserve">Poor governance practices, </w:t>
      </w:r>
      <w:r w:rsidR="00714064">
        <w:rPr>
          <w:rStyle w:val="ListParagraphChar"/>
        </w:rPr>
        <w:t>processes and structure</w:t>
      </w:r>
      <w:r w:rsidR="009D0E0E">
        <w:rPr>
          <w:rStyle w:val="ListParagraphChar"/>
        </w:rPr>
        <w:t xml:space="preserve"> </w:t>
      </w:r>
    </w:p>
    <w:p w14:paraId="0356B721" w14:textId="1F91910B" w:rsidR="00714064" w:rsidRDefault="00714064" w:rsidP="00A3168E">
      <w:pPr>
        <w:pStyle w:val="ListParagraph"/>
        <w:numPr>
          <w:ilvl w:val="0"/>
          <w:numId w:val="5"/>
        </w:numPr>
        <w:spacing w:after="0"/>
        <w:jc w:val="both"/>
        <w:rPr>
          <w:rStyle w:val="ListParagraphChar"/>
        </w:rPr>
      </w:pPr>
      <w:r>
        <w:rPr>
          <w:rStyle w:val="ListParagraphChar"/>
        </w:rPr>
        <w:t>Complex and/or company arrangement. This includes governance and issues in relation to t</w:t>
      </w:r>
      <w:r w:rsidR="0027562B">
        <w:rPr>
          <w:rStyle w:val="ListParagraphChar"/>
        </w:rPr>
        <w:t>h</w:t>
      </w:r>
      <w:r>
        <w:rPr>
          <w:rStyle w:val="ListParagraphChar"/>
        </w:rPr>
        <w:t xml:space="preserve">e management and scrutiny of </w:t>
      </w:r>
      <w:r w:rsidR="0027562B">
        <w:rPr>
          <w:rStyle w:val="ListParagraphChar"/>
        </w:rPr>
        <w:t>c</w:t>
      </w:r>
      <w:r>
        <w:rPr>
          <w:rStyle w:val="ListParagraphChar"/>
        </w:rPr>
        <w:t>ouncil</w:t>
      </w:r>
      <w:r w:rsidR="0027562B">
        <w:rPr>
          <w:rStyle w:val="ListParagraphChar"/>
        </w:rPr>
        <w:t>-</w:t>
      </w:r>
      <w:r>
        <w:rPr>
          <w:rStyle w:val="ListParagraphChar"/>
        </w:rPr>
        <w:t>owned companies</w:t>
      </w:r>
      <w:r w:rsidR="0027562B">
        <w:rPr>
          <w:rStyle w:val="ListParagraphChar"/>
        </w:rPr>
        <w:t>,</w:t>
      </w:r>
      <w:r>
        <w:rPr>
          <w:rStyle w:val="ListParagraphChar"/>
        </w:rPr>
        <w:t xml:space="preserve"> including institutional blindness to the issues arising</w:t>
      </w:r>
    </w:p>
    <w:p w14:paraId="126EE0E6" w14:textId="71E64DB8" w:rsidR="00714064" w:rsidRDefault="00714064" w:rsidP="00A3168E">
      <w:pPr>
        <w:pStyle w:val="ListParagraph"/>
        <w:numPr>
          <w:ilvl w:val="0"/>
          <w:numId w:val="5"/>
        </w:numPr>
        <w:spacing w:after="0"/>
        <w:jc w:val="both"/>
        <w:rPr>
          <w:rStyle w:val="ListParagraphChar"/>
        </w:rPr>
      </w:pPr>
      <w:r>
        <w:rPr>
          <w:rStyle w:val="ListParagraphChar"/>
        </w:rPr>
        <w:t>Poor and failing relationships between councillors and senior officers</w:t>
      </w:r>
    </w:p>
    <w:p w14:paraId="48D983BC" w14:textId="77777777" w:rsidR="005F5586" w:rsidRDefault="005C591A" w:rsidP="00A3168E">
      <w:pPr>
        <w:pStyle w:val="ListParagraph"/>
        <w:numPr>
          <w:ilvl w:val="0"/>
          <w:numId w:val="5"/>
        </w:numPr>
        <w:spacing w:after="0"/>
        <w:jc w:val="both"/>
        <w:rPr>
          <w:rStyle w:val="ListParagraphChar"/>
        </w:rPr>
      </w:pPr>
      <w:r>
        <w:rPr>
          <w:rStyle w:val="ListParagraphChar"/>
        </w:rPr>
        <w:t>Long standing errors in charging to the appropriate account (i.e. Capital vs Revenue)</w:t>
      </w:r>
      <w:r w:rsidR="009D0E0E">
        <w:rPr>
          <w:rStyle w:val="ListParagraphChar"/>
        </w:rPr>
        <w:t xml:space="preserve"> </w:t>
      </w:r>
    </w:p>
    <w:p w14:paraId="48B6C099" w14:textId="57DCAB9C" w:rsidR="005C591A" w:rsidRDefault="009D0E0E" w:rsidP="00A3168E">
      <w:pPr>
        <w:pStyle w:val="ListParagraph"/>
        <w:numPr>
          <w:ilvl w:val="0"/>
          <w:numId w:val="5"/>
        </w:numPr>
        <w:spacing w:after="0"/>
        <w:jc w:val="both"/>
        <w:rPr>
          <w:rStyle w:val="ListParagraphChar"/>
        </w:rPr>
      </w:pPr>
      <w:r>
        <w:rPr>
          <w:rStyle w:val="ListParagraphChar"/>
        </w:rPr>
        <w:t>P</w:t>
      </w:r>
      <w:r w:rsidR="0027562B">
        <w:rPr>
          <w:rStyle w:val="ListParagraphChar"/>
        </w:rPr>
        <w:t xml:space="preserve">ublic </w:t>
      </w:r>
      <w:r>
        <w:rPr>
          <w:rStyle w:val="ListParagraphChar"/>
        </w:rPr>
        <w:t>W</w:t>
      </w:r>
      <w:r w:rsidR="0027562B">
        <w:rPr>
          <w:rStyle w:val="ListParagraphChar"/>
        </w:rPr>
        <w:t xml:space="preserve">orks </w:t>
      </w:r>
      <w:r>
        <w:rPr>
          <w:rStyle w:val="ListParagraphChar"/>
        </w:rPr>
        <w:t>L</w:t>
      </w:r>
      <w:r w:rsidR="0027562B">
        <w:rPr>
          <w:rStyle w:val="ListParagraphChar"/>
        </w:rPr>
        <w:t xml:space="preserve">oan </w:t>
      </w:r>
      <w:r>
        <w:rPr>
          <w:rStyle w:val="ListParagraphChar"/>
        </w:rPr>
        <w:t>B</w:t>
      </w:r>
      <w:r w:rsidR="0027562B">
        <w:rPr>
          <w:rStyle w:val="ListParagraphChar"/>
        </w:rPr>
        <w:t>oard (PWLB)</w:t>
      </w:r>
      <w:r>
        <w:rPr>
          <w:rStyle w:val="ListParagraphChar"/>
        </w:rPr>
        <w:t xml:space="preserve"> </w:t>
      </w:r>
      <w:r w:rsidR="005F5586">
        <w:rPr>
          <w:rStyle w:val="ListParagraphChar"/>
        </w:rPr>
        <w:t xml:space="preserve">Borrowing and </w:t>
      </w:r>
      <w:r>
        <w:rPr>
          <w:rStyle w:val="ListParagraphChar"/>
        </w:rPr>
        <w:t xml:space="preserve">loans being used by </w:t>
      </w:r>
      <w:r w:rsidR="0027562B">
        <w:rPr>
          <w:rStyle w:val="ListParagraphChar"/>
        </w:rPr>
        <w:t>c</w:t>
      </w:r>
      <w:r>
        <w:rPr>
          <w:rStyle w:val="ListParagraphChar"/>
        </w:rPr>
        <w:t xml:space="preserve">ouncil-owned companies </w:t>
      </w:r>
    </w:p>
    <w:p w14:paraId="7029DF5D" w14:textId="5F6D58E5" w:rsidR="005C591A" w:rsidRDefault="003E6B4E" w:rsidP="00A3168E">
      <w:pPr>
        <w:pStyle w:val="ListParagraph"/>
        <w:numPr>
          <w:ilvl w:val="0"/>
          <w:numId w:val="5"/>
        </w:numPr>
        <w:spacing w:after="0"/>
        <w:jc w:val="both"/>
        <w:rPr>
          <w:rStyle w:val="ListParagraphChar"/>
        </w:rPr>
      </w:pPr>
      <w:r>
        <w:rPr>
          <w:rStyle w:val="ListParagraphChar"/>
        </w:rPr>
        <w:t>Incorrect calculation of Minimum Revenue Provision</w:t>
      </w:r>
      <w:r w:rsidR="0027562B">
        <w:rPr>
          <w:rStyle w:val="ListParagraphChar"/>
        </w:rPr>
        <w:t xml:space="preserve"> (MRP)</w:t>
      </w:r>
      <w:r>
        <w:rPr>
          <w:rStyle w:val="ListParagraphChar"/>
        </w:rPr>
        <w:t>, often over a prolonged period of time</w:t>
      </w:r>
    </w:p>
    <w:p w14:paraId="701DBA5C" w14:textId="3A9E4480" w:rsidR="003E6B4E" w:rsidRDefault="003E6B4E" w:rsidP="00A3168E">
      <w:pPr>
        <w:pStyle w:val="ListParagraph"/>
        <w:numPr>
          <w:ilvl w:val="0"/>
          <w:numId w:val="5"/>
        </w:numPr>
        <w:spacing w:after="0"/>
        <w:jc w:val="both"/>
        <w:rPr>
          <w:rStyle w:val="ListParagraphChar"/>
        </w:rPr>
      </w:pPr>
      <w:r>
        <w:rPr>
          <w:rStyle w:val="ListParagraphChar"/>
        </w:rPr>
        <w:t>Undelivered savings</w:t>
      </w:r>
    </w:p>
    <w:p w14:paraId="5013D668" w14:textId="3E9729B7" w:rsidR="003E6B4E" w:rsidRDefault="002C1C8E" w:rsidP="00A3168E">
      <w:pPr>
        <w:pStyle w:val="ListParagraph"/>
        <w:numPr>
          <w:ilvl w:val="0"/>
          <w:numId w:val="5"/>
        </w:numPr>
        <w:spacing w:after="0"/>
        <w:jc w:val="both"/>
        <w:rPr>
          <w:rStyle w:val="ListParagraphChar"/>
        </w:rPr>
      </w:pPr>
      <w:r>
        <w:rPr>
          <w:rStyle w:val="ListParagraphChar"/>
        </w:rPr>
        <w:t>Risks associated with ongoing external audit of accounts</w:t>
      </w:r>
    </w:p>
    <w:p w14:paraId="0DACF499" w14:textId="6BC2D7F9" w:rsidR="002C1C8E" w:rsidRDefault="002C1C8E" w:rsidP="00A3168E">
      <w:pPr>
        <w:pStyle w:val="ListParagraph"/>
        <w:numPr>
          <w:ilvl w:val="0"/>
          <w:numId w:val="5"/>
        </w:numPr>
        <w:spacing w:after="0"/>
        <w:jc w:val="both"/>
        <w:rPr>
          <w:rStyle w:val="ListParagraphChar"/>
        </w:rPr>
      </w:pPr>
      <w:r>
        <w:rPr>
          <w:rStyle w:val="ListParagraphChar"/>
        </w:rPr>
        <w:t>Lack of unallocated reserves</w:t>
      </w:r>
    </w:p>
    <w:p w14:paraId="522E2247" w14:textId="1A750DA3" w:rsidR="002C1C8E" w:rsidRDefault="002C1C8E" w:rsidP="005F5586">
      <w:pPr>
        <w:pStyle w:val="ListParagraph"/>
        <w:numPr>
          <w:ilvl w:val="0"/>
          <w:numId w:val="0"/>
        </w:numPr>
        <w:spacing w:after="0"/>
        <w:ind w:left="786"/>
        <w:jc w:val="both"/>
        <w:rPr>
          <w:rStyle w:val="ListParagraphChar"/>
        </w:rPr>
      </w:pPr>
    </w:p>
    <w:p w14:paraId="0EE258D0" w14:textId="430C7E72" w:rsidR="005601CF" w:rsidRDefault="00B95D6C" w:rsidP="009212DA">
      <w:pPr>
        <w:pStyle w:val="ListParagraph"/>
        <w:jc w:val="both"/>
        <w:rPr>
          <w:rStyle w:val="ListParagraphChar"/>
        </w:rPr>
      </w:pPr>
      <w:r>
        <w:rPr>
          <w:rStyle w:val="ListParagraphChar"/>
        </w:rPr>
        <w:t xml:space="preserve">Most of the </w:t>
      </w:r>
      <w:r w:rsidR="005601CF" w:rsidRPr="70BFB7CE">
        <w:rPr>
          <w:rStyle w:val="ListParagraphChar"/>
        </w:rPr>
        <w:t xml:space="preserve">local authorities which have issued Section 114 notices to date are Tier </w:t>
      </w:r>
      <w:r>
        <w:rPr>
          <w:rStyle w:val="ListParagraphChar"/>
        </w:rPr>
        <w:t>1</w:t>
      </w:r>
      <w:r w:rsidR="005601CF" w:rsidRPr="70BFB7CE">
        <w:rPr>
          <w:rStyle w:val="ListParagraphChar"/>
        </w:rPr>
        <w:t xml:space="preserve"> authorities</w:t>
      </w:r>
      <w:r>
        <w:rPr>
          <w:rStyle w:val="ListParagraphChar"/>
        </w:rPr>
        <w:t xml:space="preserve">, although Woking and Thurrock are tier 2 and a number of other tier 2 authorities </w:t>
      </w:r>
      <w:r w:rsidR="00A24E2F" w:rsidRPr="70BFB7CE">
        <w:rPr>
          <w:rStyle w:val="ListParagraphChar"/>
        </w:rPr>
        <w:t>such as Hastings and Crawley have been suggesting they may do so</w:t>
      </w:r>
      <w:r w:rsidR="00D315A6" w:rsidRPr="70BFB7CE">
        <w:rPr>
          <w:rStyle w:val="ListParagraphChar"/>
        </w:rPr>
        <w:t xml:space="preserve">. </w:t>
      </w:r>
      <w:r w:rsidR="00D315A6" w:rsidRPr="003E786C">
        <w:rPr>
          <w:rStyle w:val="ListParagraphChar"/>
        </w:rPr>
        <w:t xml:space="preserve">District councils do not have responsibility for services such as </w:t>
      </w:r>
      <w:r w:rsidR="009212DA" w:rsidRPr="003E786C">
        <w:rPr>
          <w:rStyle w:val="ListParagraphChar"/>
        </w:rPr>
        <w:t>Adult Social Care and Children’s Social Care, which are often the source of significant budgetary pressure</w:t>
      </w:r>
      <w:r w:rsidR="009212DA" w:rsidRPr="70BFB7CE">
        <w:rPr>
          <w:rStyle w:val="ListParagraphChar"/>
        </w:rPr>
        <w:t>s.</w:t>
      </w:r>
    </w:p>
    <w:p w14:paraId="2AFD242C" w14:textId="36004B2E" w:rsidR="0013699A" w:rsidRDefault="00B01697" w:rsidP="00061E3C">
      <w:pPr>
        <w:rPr>
          <w:rStyle w:val="ListParagraphChar"/>
          <w:b/>
          <w:bCs/>
        </w:rPr>
      </w:pPr>
      <w:r>
        <w:rPr>
          <w:rStyle w:val="ListParagraphChar"/>
          <w:b/>
          <w:bCs/>
        </w:rPr>
        <w:t xml:space="preserve">Government Response </w:t>
      </w:r>
    </w:p>
    <w:p w14:paraId="6412DB0A" w14:textId="657A29FE" w:rsidR="00B01697" w:rsidRDefault="00B01697" w:rsidP="009B2FA2">
      <w:pPr>
        <w:pStyle w:val="ListParagraph"/>
        <w:jc w:val="both"/>
        <w:rPr>
          <w:rStyle w:val="ListParagraphChar"/>
        </w:rPr>
      </w:pPr>
      <w:r w:rsidRPr="70BFB7CE">
        <w:rPr>
          <w:rStyle w:val="ListParagraphChar"/>
        </w:rPr>
        <w:t>In response to the escalating number of local authority failings in July 2023 the Government established the Office for Local Government</w:t>
      </w:r>
      <w:r w:rsidR="0082675E">
        <w:rPr>
          <w:rStyle w:val="ListParagraphChar"/>
        </w:rPr>
        <w:t xml:space="preserve"> (OFLOG)</w:t>
      </w:r>
      <w:r w:rsidRPr="70BFB7CE">
        <w:rPr>
          <w:rStyle w:val="ListParagraphChar"/>
        </w:rPr>
        <w:t xml:space="preserve">, a new performance body for local government, which will provide authoritative and accessible data and analysis about the performance of local government and support its improvement. In a policy paper established in July 2023 they set out their plans to strengthen the overall system such as introducing new statutory best value guidance and improving capacity and capability of the sector. </w:t>
      </w:r>
      <w:r w:rsidRPr="003E786C">
        <w:rPr>
          <w:rStyle w:val="ListParagraphChar"/>
        </w:rPr>
        <w:t>O</w:t>
      </w:r>
      <w:r w:rsidR="005F5586" w:rsidRPr="003E786C">
        <w:rPr>
          <w:rStyle w:val="ListParagraphChar"/>
        </w:rPr>
        <w:t>FLOG</w:t>
      </w:r>
      <w:r w:rsidRPr="003E786C">
        <w:rPr>
          <w:rStyle w:val="ListParagraphChar"/>
        </w:rPr>
        <w:t xml:space="preserve"> </w:t>
      </w:r>
      <w:r w:rsidR="005F5586" w:rsidRPr="003E786C">
        <w:rPr>
          <w:rStyle w:val="ListParagraphChar"/>
        </w:rPr>
        <w:t>intends</w:t>
      </w:r>
      <w:r w:rsidRPr="003E786C">
        <w:rPr>
          <w:rStyle w:val="ListParagraphChar"/>
        </w:rPr>
        <w:t xml:space="preserve"> to work alongside local government to introduce these changes bringing with it increased accountability</w:t>
      </w:r>
      <w:r w:rsidR="00A94265" w:rsidRPr="003E786C">
        <w:rPr>
          <w:rStyle w:val="ListParagraphChar"/>
        </w:rPr>
        <w:t>, transparency w</w:t>
      </w:r>
      <w:r w:rsidR="00A94265" w:rsidRPr="70BFB7CE">
        <w:rPr>
          <w:rStyle w:val="ListParagraphChar"/>
        </w:rPr>
        <w:t xml:space="preserve">ith meaningful and insightful data. They point out that this is not a recreation of the Audit Commission (which some in the financial profession would see as not such a bad thing) which in their view was </w:t>
      </w:r>
      <w:r w:rsidR="0B491297" w:rsidRPr="70BFB7CE">
        <w:rPr>
          <w:rStyle w:val="ListParagraphChar"/>
        </w:rPr>
        <w:t>over-</w:t>
      </w:r>
      <w:r w:rsidR="00A94265" w:rsidRPr="70BFB7CE">
        <w:rPr>
          <w:rStyle w:val="ListParagraphChar"/>
        </w:rPr>
        <w:t>regulating</w:t>
      </w:r>
      <w:r w:rsidR="002C5331" w:rsidRPr="70BFB7CE">
        <w:rPr>
          <w:rStyle w:val="ListParagraphChar"/>
        </w:rPr>
        <w:t xml:space="preserve"> and</w:t>
      </w:r>
      <w:r w:rsidR="00A94265" w:rsidRPr="70BFB7CE">
        <w:rPr>
          <w:rStyle w:val="ListParagraphChar"/>
        </w:rPr>
        <w:t xml:space="preserve"> micromanaging. </w:t>
      </w:r>
    </w:p>
    <w:p w14:paraId="73FCBC25" w14:textId="1AA9F09C" w:rsidR="00B01697" w:rsidRDefault="00A94265" w:rsidP="009B2FA2">
      <w:pPr>
        <w:pStyle w:val="ListParagraph"/>
        <w:jc w:val="both"/>
        <w:rPr>
          <w:rStyle w:val="ListParagraphChar"/>
        </w:rPr>
      </w:pPr>
      <w:r>
        <w:rPr>
          <w:rStyle w:val="ListParagraphChar"/>
        </w:rPr>
        <w:lastRenderedPageBreak/>
        <w:t>In October 2023 O</w:t>
      </w:r>
      <w:r w:rsidR="005F5586">
        <w:rPr>
          <w:rStyle w:val="ListParagraphChar"/>
        </w:rPr>
        <w:t>FLOG</w:t>
      </w:r>
      <w:r>
        <w:rPr>
          <w:rStyle w:val="ListParagraphChar"/>
        </w:rPr>
        <w:t xml:space="preserve"> wrote to authorities seeking views on </w:t>
      </w:r>
      <w:r w:rsidR="005F5586">
        <w:rPr>
          <w:rStyle w:val="ListParagraphChar"/>
        </w:rPr>
        <w:t xml:space="preserve">a range of </w:t>
      </w:r>
      <w:r>
        <w:rPr>
          <w:rStyle w:val="ListParagraphChar"/>
        </w:rPr>
        <w:t>metrics that they would be using to determine local authority performance. They are specifically trying to address:</w:t>
      </w:r>
    </w:p>
    <w:p w14:paraId="0D0405DF" w14:textId="5DA1D67C" w:rsidR="00A94265" w:rsidRDefault="00A94265" w:rsidP="00A3168E">
      <w:pPr>
        <w:pStyle w:val="ListParagraph"/>
        <w:numPr>
          <w:ilvl w:val="0"/>
          <w:numId w:val="8"/>
        </w:numPr>
        <w:jc w:val="both"/>
        <w:rPr>
          <w:rStyle w:val="ListParagraphChar"/>
        </w:rPr>
      </w:pPr>
      <w:r>
        <w:rPr>
          <w:rStyle w:val="ListParagraphChar"/>
        </w:rPr>
        <w:t>Spotting the warning signs of financial failure in local government</w:t>
      </w:r>
    </w:p>
    <w:p w14:paraId="3DEA3937" w14:textId="64E4B5DB" w:rsidR="00A94265" w:rsidRDefault="00A94265" w:rsidP="00A3168E">
      <w:pPr>
        <w:pStyle w:val="ListParagraph"/>
        <w:numPr>
          <w:ilvl w:val="0"/>
          <w:numId w:val="8"/>
        </w:numPr>
        <w:jc w:val="both"/>
        <w:rPr>
          <w:rStyle w:val="ListParagraphChar"/>
        </w:rPr>
      </w:pPr>
      <w:r>
        <w:rPr>
          <w:rStyle w:val="ListParagraphChar"/>
        </w:rPr>
        <w:t>Tackling missed opportunities for organisational improvement</w:t>
      </w:r>
    </w:p>
    <w:p w14:paraId="0790CCF6" w14:textId="289307D9" w:rsidR="005F5586" w:rsidRPr="005F5586" w:rsidRDefault="005F5586" w:rsidP="0082675E">
      <w:pPr>
        <w:pStyle w:val="ListParagraph"/>
        <w:rPr>
          <w:rStyle w:val="ListParagraphChar"/>
        </w:rPr>
      </w:pPr>
      <w:r w:rsidRPr="005F5586">
        <w:rPr>
          <w:rStyle w:val="ListParagraphChar"/>
        </w:rPr>
        <w:t>A number of key themes to focus on have been chosen</w:t>
      </w:r>
      <w:r>
        <w:rPr>
          <w:rStyle w:val="ListParagraphChar"/>
        </w:rPr>
        <w:t>:</w:t>
      </w:r>
    </w:p>
    <w:p w14:paraId="50BB5338" w14:textId="55A6C494" w:rsidR="005F5586" w:rsidRPr="005F5586" w:rsidRDefault="005F5586" w:rsidP="00A3168E">
      <w:pPr>
        <w:pStyle w:val="ListParagraph"/>
        <w:numPr>
          <w:ilvl w:val="0"/>
          <w:numId w:val="9"/>
        </w:numPr>
        <w:jc w:val="both"/>
        <w:rPr>
          <w:rStyle w:val="ListParagraphChar"/>
        </w:rPr>
      </w:pPr>
      <w:r w:rsidRPr="005F5586">
        <w:rPr>
          <w:rStyle w:val="ListParagraphChar"/>
        </w:rPr>
        <w:t>Mayoral Combined Authorities</w:t>
      </w:r>
    </w:p>
    <w:p w14:paraId="1E29A631" w14:textId="0D68057E" w:rsidR="005F5586" w:rsidRPr="005F5586" w:rsidRDefault="005F5586" w:rsidP="00A3168E">
      <w:pPr>
        <w:pStyle w:val="ListParagraph"/>
        <w:numPr>
          <w:ilvl w:val="0"/>
          <w:numId w:val="9"/>
        </w:numPr>
        <w:jc w:val="both"/>
        <w:rPr>
          <w:rStyle w:val="ListParagraphChar"/>
        </w:rPr>
      </w:pPr>
      <w:r w:rsidRPr="005F5586">
        <w:rPr>
          <w:rStyle w:val="ListParagraphChar"/>
        </w:rPr>
        <w:t>Roads</w:t>
      </w:r>
    </w:p>
    <w:p w14:paraId="0E3B20DA" w14:textId="782E714C" w:rsidR="005F5586" w:rsidRPr="005F5586" w:rsidRDefault="005F5586" w:rsidP="00A3168E">
      <w:pPr>
        <w:pStyle w:val="ListParagraph"/>
        <w:numPr>
          <w:ilvl w:val="0"/>
          <w:numId w:val="9"/>
        </w:numPr>
        <w:jc w:val="both"/>
        <w:rPr>
          <w:rStyle w:val="ListParagraphChar"/>
        </w:rPr>
      </w:pPr>
      <w:r w:rsidRPr="005F5586">
        <w:rPr>
          <w:rStyle w:val="ListParagraphChar"/>
        </w:rPr>
        <w:t>Business and Economic Growth</w:t>
      </w:r>
    </w:p>
    <w:p w14:paraId="19A8B4D8" w14:textId="6FF5848D" w:rsidR="005F5586" w:rsidRPr="005F5586" w:rsidRDefault="005F5586" w:rsidP="00A3168E">
      <w:pPr>
        <w:pStyle w:val="ListParagraph"/>
        <w:numPr>
          <w:ilvl w:val="0"/>
          <w:numId w:val="9"/>
        </w:numPr>
        <w:jc w:val="both"/>
        <w:rPr>
          <w:rStyle w:val="ListParagraphChar"/>
        </w:rPr>
      </w:pPr>
      <w:r w:rsidRPr="005F5586">
        <w:rPr>
          <w:rStyle w:val="ListParagraphChar"/>
        </w:rPr>
        <w:t>Waste Management</w:t>
      </w:r>
      <w:r>
        <w:rPr>
          <w:rStyle w:val="ListParagraphChar"/>
        </w:rPr>
        <w:t xml:space="preserve"> (fly tipping)</w:t>
      </w:r>
    </w:p>
    <w:p w14:paraId="3C02CE64" w14:textId="0E34AB3F" w:rsidR="005F5586" w:rsidRPr="005F5586" w:rsidRDefault="005F5586" w:rsidP="00A3168E">
      <w:pPr>
        <w:pStyle w:val="ListParagraph"/>
        <w:numPr>
          <w:ilvl w:val="0"/>
          <w:numId w:val="9"/>
        </w:numPr>
        <w:jc w:val="both"/>
        <w:rPr>
          <w:rStyle w:val="ListParagraphChar"/>
        </w:rPr>
      </w:pPr>
      <w:r w:rsidRPr="005F5586">
        <w:rPr>
          <w:rStyle w:val="ListParagraphChar"/>
        </w:rPr>
        <w:t xml:space="preserve">Planning </w:t>
      </w:r>
    </w:p>
    <w:p w14:paraId="106F058D" w14:textId="2BA0E2DB" w:rsidR="005F5586" w:rsidRDefault="005F5586" w:rsidP="00A3168E">
      <w:pPr>
        <w:pStyle w:val="ListParagraph"/>
        <w:numPr>
          <w:ilvl w:val="0"/>
          <w:numId w:val="9"/>
        </w:numPr>
        <w:jc w:val="both"/>
        <w:rPr>
          <w:rStyle w:val="ListParagraphChar"/>
        </w:rPr>
      </w:pPr>
      <w:r w:rsidRPr="005F5586">
        <w:rPr>
          <w:rStyle w:val="ListParagraphChar"/>
        </w:rPr>
        <w:t>Corporate and Finance</w:t>
      </w:r>
      <w:r>
        <w:rPr>
          <w:rStyle w:val="ListParagraphChar"/>
        </w:rPr>
        <w:t xml:space="preserve"> – four areas of focus are being consulted upon</w:t>
      </w:r>
      <w:r w:rsidR="0082675E">
        <w:rPr>
          <w:rStyle w:val="ListParagraphChar"/>
        </w:rPr>
        <w:t>:</w:t>
      </w:r>
    </w:p>
    <w:p w14:paraId="3F062BD0" w14:textId="758657F3" w:rsidR="005F5586" w:rsidRDefault="005F5586" w:rsidP="00A3168E">
      <w:pPr>
        <w:pStyle w:val="ListParagraph"/>
        <w:numPr>
          <w:ilvl w:val="1"/>
          <w:numId w:val="9"/>
        </w:numPr>
        <w:jc w:val="both"/>
      </w:pPr>
      <w:r>
        <w:t xml:space="preserve">The total of a local authority’s debt (including credit arrangements) as compared to the financial resources at the </w:t>
      </w:r>
      <w:r w:rsidR="00F627CE">
        <w:t>disposal</w:t>
      </w:r>
      <w:r>
        <w:t xml:space="preserve"> of the authority. </w:t>
      </w:r>
    </w:p>
    <w:p w14:paraId="6EB54178" w14:textId="77777777" w:rsidR="005F5586" w:rsidRDefault="005F5586" w:rsidP="00A3168E">
      <w:pPr>
        <w:pStyle w:val="ListParagraph"/>
        <w:numPr>
          <w:ilvl w:val="1"/>
          <w:numId w:val="9"/>
        </w:numPr>
        <w:jc w:val="both"/>
      </w:pPr>
      <w:r>
        <w:t xml:space="preserve">The proportion of the total of a local authority’s capital assets which is investments made, or held, wholly or mainly in order to generate financial return. </w:t>
      </w:r>
    </w:p>
    <w:p w14:paraId="5DB3E46C" w14:textId="77777777" w:rsidR="005F5586" w:rsidRDefault="005F5586" w:rsidP="00A3168E">
      <w:pPr>
        <w:pStyle w:val="ListParagraph"/>
        <w:numPr>
          <w:ilvl w:val="1"/>
          <w:numId w:val="9"/>
        </w:numPr>
        <w:jc w:val="both"/>
      </w:pPr>
      <w:r>
        <w:t xml:space="preserve">The proportion of the total of a local authority’s debt (including credit arrangements) in relation to which the counterparty is not central government or a local authority. </w:t>
      </w:r>
    </w:p>
    <w:p w14:paraId="38EB10EE" w14:textId="3AF99C0D" w:rsidR="005F5586" w:rsidRPr="005F5586" w:rsidRDefault="005F5586" w:rsidP="00A3168E">
      <w:pPr>
        <w:pStyle w:val="ListParagraph"/>
        <w:numPr>
          <w:ilvl w:val="1"/>
          <w:numId w:val="9"/>
        </w:numPr>
        <w:jc w:val="both"/>
        <w:rPr>
          <w:rStyle w:val="ListParagraphChar"/>
        </w:rPr>
      </w:pPr>
      <w:r>
        <w:t>The amount of minimum revenue provision charged by a local authority to a revenue account for a financial year.</w:t>
      </w:r>
    </w:p>
    <w:p w14:paraId="0F779E15" w14:textId="562BA8ED" w:rsidR="005F5586" w:rsidRPr="00A3168E" w:rsidRDefault="00C43A17" w:rsidP="00A3168E">
      <w:pPr>
        <w:ind w:left="426" w:hanging="426"/>
        <w:jc w:val="both"/>
        <w:rPr>
          <w:rStyle w:val="ListParagraphChar"/>
        </w:rPr>
      </w:pPr>
      <w:r>
        <w:rPr>
          <w:rStyle w:val="ListParagraphChar"/>
        </w:rPr>
        <w:t>25</w:t>
      </w:r>
      <w:r w:rsidR="00A3168E">
        <w:rPr>
          <w:rStyle w:val="ListParagraphChar"/>
        </w:rPr>
        <w:tab/>
      </w:r>
      <w:r w:rsidR="00C14FB4" w:rsidRPr="00A3168E">
        <w:rPr>
          <w:rStyle w:val="ListParagraphChar"/>
        </w:rPr>
        <w:t>The Charter</w:t>
      </w:r>
      <w:r w:rsidR="00F41251">
        <w:rPr>
          <w:rStyle w:val="ListParagraphChar"/>
        </w:rPr>
        <w:t>ed</w:t>
      </w:r>
      <w:r w:rsidR="00C14FB4" w:rsidRPr="00A3168E">
        <w:rPr>
          <w:rStyle w:val="ListParagraphChar"/>
        </w:rPr>
        <w:t xml:space="preserve"> </w:t>
      </w:r>
      <w:r w:rsidR="00A3168E" w:rsidRPr="00A3168E">
        <w:rPr>
          <w:rStyle w:val="ListParagraphChar"/>
        </w:rPr>
        <w:t>Institute</w:t>
      </w:r>
      <w:r w:rsidR="00C14FB4" w:rsidRPr="00A3168E">
        <w:rPr>
          <w:rStyle w:val="ListParagraphChar"/>
        </w:rPr>
        <w:t xml:space="preserve"> of </w:t>
      </w:r>
      <w:r w:rsidR="00F41251">
        <w:rPr>
          <w:rStyle w:val="ListParagraphChar"/>
        </w:rPr>
        <w:t xml:space="preserve">Public </w:t>
      </w:r>
      <w:r w:rsidR="00C14FB4" w:rsidRPr="00A3168E">
        <w:rPr>
          <w:rStyle w:val="ListParagraphChar"/>
        </w:rPr>
        <w:t>Finance and Accountancy issue</w:t>
      </w:r>
      <w:r w:rsidR="0082675E">
        <w:rPr>
          <w:rStyle w:val="ListParagraphChar"/>
        </w:rPr>
        <w:t>s</w:t>
      </w:r>
      <w:r w:rsidR="00C14FB4" w:rsidRPr="00A3168E">
        <w:rPr>
          <w:rStyle w:val="ListParagraphChar"/>
        </w:rPr>
        <w:t xml:space="preserve"> a set of comparative performance indicators that measure the </w:t>
      </w:r>
      <w:r w:rsidR="00A3168E" w:rsidRPr="00A3168E">
        <w:rPr>
          <w:rStyle w:val="ListParagraphChar"/>
        </w:rPr>
        <w:t>resilience</w:t>
      </w:r>
      <w:r w:rsidR="00C14FB4" w:rsidRPr="00A3168E">
        <w:rPr>
          <w:rStyle w:val="ListParagraphChar"/>
        </w:rPr>
        <w:t xml:space="preserve"> of </w:t>
      </w:r>
      <w:r w:rsidR="00D20128">
        <w:rPr>
          <w:rStyle w:val="ListParagraphChar"/>
        </w:rPr>
        <w:t xml:space="preserve">the </w:t>
      </w:r>
      <w:r w:rsidR="00C14FB4" w:rsidRPr="00A3168E">
        <w:rPr>
          <w:rStyle w:val="ListParagraphChar"/>
        </w:rPr>
        <w:t>council and enable</w:t>
      </w:r>
      <w:r w:rsidR="00D20128">
        <w:rPr>
          <w:rStyle w:val="ListParagraphChar"/>
        </w:rPr>
        <w:t>s</w:t>
      </w:r>
      <w:r w:rsidR="00C14FB4" w:rsidRPr="00A3168E">
        <w:rPr>
          <w:rStyle w:val="ListParagraphChar"/>
        </w:rPr>
        <w:t xml:space="preserve"> comparison </w:t>
      </w:r>
      <w:r w:rsidR="00D20128">
        <w:rPr>
          <w:rStyle w:val="ListParagraphChar"/>
        </w:rPr>
        <w:t xml:space="preserve">with </w:t>
      </w:r>
      <w:r w:rsidR="00C14FB4" w:rsidRPr="00A3168E">
        <w:rPr>
          <w:rStyle w:val="ListParagraphChar"/>
        </w:rPr>
        <w:t>other</w:t>
      </w:r>
      <w:r w:rsidR="00D20128">
        <w:rPr>
          <w:rStyle w:val="ListParagraphChar"/>
        </w:rPr>
        <w:t xml:space="preserve"> local authorities</w:t>
      </w:r>
      <w:r w:rsidR="00C14FB4" w:rsidRPr="00A3168E">
        <w:rPr>
          <w:rStyle w:val="ListParagraphChar"/>
        </w:rPr>
        <w:t>. These indicators are</w:t>
      </w:r>
      <w:r w:rsidR="00A3168E">
        <w:rPr>
          <w:rStyle w:val="ListParagraphChar"/>
        </w:rPr>
        <w:t xml:space="preserve"> </w:t>
      </w:r>
      <w:r w:rsidR="00C14FB4" w:rsidRPr="00A3168E">
        <w:rPr>
          <w:rStyle w:val="ListParagraphChar"/>
        </w:rPr>
        <w:t xml:space="preserve">based on historical </w:t>
      </w:r>
      <w:r w:rsidR="00A3168E" w:rsidRPr="00A3168E">
        <w:rPr>
          <w:rStyle w:val="ListParagraphChar"/>
        </w:rPr>
        <w:t>information</w:t>
      </w:r>
      <w:r w:rsidR="00C14FB4" w:rsidRPr="00A3168E">
        <w:rPr>
          <w:rStyle w:val="ListParagraphChar"/>
        </w:rPr>
        <w:t xml:space="preserve"> and </w:t>
      </w:r>
      <w:r w:rsidR="00A3168E" w:rsidRPr="00A3168E">
        <w:rPr>
          <w:rStyle w:val="ListParagraphChar"/>
        </w:rPr>
        <w:t xml:space="preserve">a number are </w:t>
      </w:r>
      <w:r w:rsidR="00D20128">
        <w:rPr>
          <w:rStyle w:val="ListParagraphChar"/>
        </w:rPr>
        <w:t>not entirely relevant</w:t>
      </w:r>
      <w:r w:rsidR="00A3168E" w:rsidRPr="00A3168E">
        <w:rPr>
          <w:rStyle w:val="ListParagraphChar"/>
        </w:rPr>
        <w:t xml:space="preserve">. For instance the interest cover ratio compares general fund income to total debt. For an authority like Oxford with no General Fund </w:t>
      </w:r>
      <w:r w:rsidR="00363222">
        <w:rPr>
          <w:rStyle w:val="ListParagraphChar"/>
        </w:rPr>
        <w:t xml:space="preserve">external </w:t>
      </w:r>
      <w:r w:rsidR="001F4D76">
        <w:rPr>
          <w:rStyle w:val="ListParagraphChar"/>
        </w:rPr>
        <w:t>borrowing</w:t>
      </w:r>
      <w:r w:rsidR="00D20128">
        <w:rPr>
          <w:rStyle w:val="ListParagraphChar"/>
        </w:rPr>
        <w:t>,</w:t>
      </w:r>
      <w:r w:rsidR="00363222" w:rsidRPr="00A3168E">
        <w:rPr>
          <w:rStyle w:val="ListParagraphChar"/>
        </w:rPr>
        <w:t xml:space="preserve"> </w:t>
      </w:r>
      <w:r w:rsidR="00A3168E" w:rsidRPr="00A3168E">
        <w:rPr>
          <w:rStyle w:val="ListParagraphChar"/>
        </w:rPr>
        <w:t xml:space="preserve">but </w:t>
      </w:r>
      <w:r w:rsidR="001F4D76">
        <w:rPr>
          <w:rStyle w:val="ListParagraphChar"/>
        </w:rPr>
        <w:t xml:space="preserve">with </w:t>
      </w:r>
      <w:r w:rsidR="00A3168E" w:rsidRPr="00A3168E">
        <w:rPr>
          <w:rStyle w:val="ListParagraphChar"/>
        </w:rPr>
        <w:t xml:space="preserve">HRA </w:t>
      </w:r>
      <w:r w:rsidR="001F4D76">
        <w:rPr>
          <w:rStyle w:val="ListParagraphChar"/>
        </w:rPr>
        <w:t>external borrowing</w:t>
      </w:r>
      <w:r w:rsidR="001F4D76" w:rsidRPr="00A3168E">
        <w:rPr>
          <w:rStyle w:val="ListParagraphChar"/>
        </w:rPr>
        <w:t xml:space="preserve"> </w:t>
      </w:r>
      <w:r w:rsidR="00A3168E" w:rsidRPr="00A3168E">
        <w:rPr>
          <w:rStyle w:val="ListParagraphChar"/>
        </w:rPr>
        <w:t xml:space="preserve">which is financed from rents this </w:t>
      </w:r>
      <w:r w:rsidR="00D20128">
        <w:rPr>
          <w:rStyle w:val="ListParagraphChar"/>
        </w:rPr>
        <w:t>has limited value.</w:t>
      </w:r>
      <w:r w:rsidR="00C14FB4" w:rsidRPr="00A3168E">
        <w:rPr>
          <w:rStyle w:val="ListParagraphChar"/>
        </w:rPr>
        <w:t xml:space="preserve"> </w:t>
      </w:r>
      <w:r w:rsidR="00E61543" w:rsidRPr="00A3168E">
        <w:rPr>
          <w:rStyle w:val="ListParagraphChar"/>
        </w:rPr>
        <w:t xml:space="preserve">   </w:t>
      </w:r>
    </w:p>
    <w:p w14:paraId="455C497D" w14:textId="616AC255" w:rsidR="00A94265" w:rsidRPr="001E18CE" w:rsidRDefault="001E18CE" w:rsidP="00A94265">
      <w:pPr>
        <w:jc w:val="both"/>
        <w:rPr>
          <w:rStyle w:val="ListParagraphChar"/>
          <w:b/>
        </w:rPr>
      </w:pPr>
      <w:r w:rsidRPr="001E18CE">
        <w:rPr>
          <w:rStyle w:val="ListParagraphChar"/>
          <w:b/>
        </w:rPr>
        <w:t>Focus of the Issues</w:t>
      </w:r>
    </w:p>
    <w:p w14:paraId="20C7DDF4" w14:textId="4AE85FE5" w:rsidR="001E18CE" w:rsidRDefault="001E18CE" w:rsidP="00C43A17">
      <w:pPr>
        <w:pStyle w:val="ListParagraph"/>
        <w:numPr>
          <w:ilvl w:val="0"/>
          <w:numId w:val="16"/>
        </w:numPr>
        <w:jc w:val="both"/>
        <w:rPr>
          <w:rStyle w:val="ListParagraphChar"/>
        </w:rPr>
      </w:pPr>
      <w:r w:rsidRPr="70BFB7CE">
        <w:rPr>
          <w:rStyle w:val="ListParagraphChar"/>
        </w:rPr>
        <w:t>Appendix A highlights some common themes that would have contributed towards the issuing of a Section 114 notice. In assessing whether Oxford City Council will be issuing a notice any time soon it may be appropriate to exam</w:t>
      </w:r>
      <w:r w:rsidR="47BB3AF7" w:rsidRPr="70BFB7CE">
        <w:rPr>
          <w:rStyle w:val="ListParagraphChar"/>
        </w:rPr>
        <w:t>ine</w:t>
      </w:r>
      <w:r w:rsidRPr="70BFB7CE">
        <w:rPr>
          <w:rStyle w:val="ListParagraphChar"/>
        </w:rPr>
        <w:t xml:space="preserve"> these issues in relation to the Council</w:t>
      </w:r>
      <w:r w:rsidR="00D20128" w:rsidRPr="70BFB7CE">
        <w:rPr>
          <w:rStyle w:val="ListParagraphChar"/>
        </w:rPr>
        <w:t>.</w:t>
      </w:r>
    </w:p>
    <w:p w14:paraId="600A798A" w14:textId="2E9AA52B" w:rsidR="009D4E6B" w:rsidRDefault="001E18CE" w:rsidP="001E18CE">
      <w:pPr>
        <w:pStyle w:val="ListParagraph"/>
        <w:numPr>
          <w:ilvl w:val="0"/>
          <w:numId w:val="0"/>
        </w:numPr>
        <w:ind w:left="360"/>
        <w:jc w:val="both"/>
        <w:rPr>
          <w:rStyle w:val="ListParagraphChar"/>
        </w:rPr>
      </w:pPr>
      <w:r>
        <w:rPr>
          <w:rStyle w:val="ListParagraphChar"/>
        </w:rPr>
        <w:t xml:space="preserve"> </w:t>
      </w:r>
    </w:p>
    <w:p w14:paraId="55C9FE58" w14:textId="2778872E" w:rsidR="003330F2" w:rsidRPr="004F24D8" w:rsidRDefault="006A0186" w:rsidP="008B1476">
      <w:pPr>
        <w:pStyle w:val="ListParagraph"/>
        <w:numPr>
          <w:ilvl w:val="0"/>
          <w:numId w:val="15"/>
        </w:numPr>
        <w:jc w:val="both"/>
        <w:rPr>
          <w:rStyle w:val="ListParagraphChar"/>
          <w:b/>
          <w:u w:val="single"/>
        </w:rPr>
      </w:pPr>
      <w:r w:rsidRPr="004F24D8">
        <w:rPr>
          <w:rStyle w:val="ListParagraphChar"/>
          <w:b/>
          <w:u w:val="single"/>
        </w:rPr>
        <w:t xml:space="preserve">Financial </w:t>
      </w:r>
      <w:r w:rsidR="001E18CE" w:rsidRPr="004F24D8">
        <w:rPr>
          <w:rStyle w:val="ListParagraphChar"/>
          <w:b/>
          <w:u w:val="single"/>
        </w:rPr>
        <w:t xml:space="preserve">Management and </w:t>
      </w:r>
      <w:r w:rsidRPr="004F24D8">
        <w:rPr>
          <w:rStyle w:val="ListParagraphChar"/>
          <w:b/>
          <w:u w:val="single"/>
        </w:rPr>
        <w:t>Controls</w:t>
      </w:r>
    </w:p>
    <w:p w14:paraId="3FB2BD3C" w14:textId="618CBA87" w:rsidR="006B5F89" w:rsidRPr="001C2F9C" w:rsidRDefault="00EF387D" w:rsidP="008B1476">
      <w:pPr>
        <w:pStyle w:val="ListParagraph"/>
        <w:numPr>
          <w:ilvl w:val="0"/>
          <w:numId w:val="0"/>
        </w:numPr>
        <w:ind w:left="720"/>
        <w:jc w:val="both"/>
        <w:rPr>
          <w:rStyle w:val="ListParagraphChar"/>
        </w:rPr>
      </w:pPr>
      <w:r w:rsidRPr="3CEA2146">
        <w:rPr>
          <w:rStyle w:val="ListParagraphChar"/>
        </w:rPr>
        <w:t xml:space="preserve">The Council has had a good record of financial </w:t>
      </w:r>
      <w:r w:rsidR="003E786C" w:rsidRPr="3CEA2146">
        <w:rPr>
          <w:rStyle w:val="ListParagraphChar"/>
        </w:rPr>
        <w:t xml:space="preserve">management. </w:t>
      </w:r>
      <w:r w:rsidR="00C13C26" w:rsidRPr="3CEA2146">
        <w:rPr>
          <w:rStyle w:val="ListParagraphChar"/>
        </w:rPr>
        <w:t>Budgets are prepared in the short and medium term on a 4</w:t>
      </w:r>
      <w:r w:rsidR="0082675E">
        <w:rPr>
          <w:rStyle w:val="ListParagraphChar"/>
        </w:rPr>
        <w:t>-</w:t>
      </w:r>
      <w:r w:rsidR="00C13C26" w:rsidRPr="3CEA2146">
        <w:rPr>
          <w:rStyle w:val="ListParagraphChar"/>
        </w:rPr>
        <w:t xml:space="preserve">year rolling basis. </w:t>
      </w:r>
      <w:r w:rsidR="00C13C26" w:rsidRPr="003E786C">
        <w:rPr>
          <w:rStyle w:val="ListParagraphChar"/>
        </w:rPr>
        <w:t>The budget is balanced in each year with a prudent use of reserve</w:t>
      </w:r>
      <w:r w:rsidR="00E83A44" w:rsidRPr="003E786C">
        <w:rPr>
          <w:rStyle w:val="ListParagraphChar"/>
        </w:rPr>
        <w:t>s</w:t>
      </w:r>
      <w:r w:rsidR="00C13C26" w:rsidRPr="003E786C">
        <w:rPr>
          <w:rStyle w:val="ListParagraphChar"/>
        </w:rPr>
        <w:t>, something which many authorities strive for</w:t>
      </w:r>
      <w:r w:rsidR="00D20128" w:rsidRPr="003E786C">
        <w:rPr>
          <w:rStyle w:val="ListParagraphChar"/>
        </w:rPr>
        <w:t>,</w:t>
      </w:r>
      <w:r w:rsidR="00C13C26" w:rsidRPr="003E786C">
        <w:rPr>
          <w:rStyle w:val="ListParagraphChar"/>
        </w:rPr>
        <w:t xml:space="preserve"> but few seldom achieve</w:t>
      </w:r>
      <w:r w:rsidR="00C13C26" w:rsidRPr="3CEA2146">
        <w:rPr>
          <w:rStyle w:val="ListParagraphChar"/>
        </w:rPr>
        <w:t xml:space="preserve">. </w:t>
      </w:r>
      <w:r w:rsidR="6B024671" w:rsidRPr="3CEA2146">
        <w:rPr>
          <w:rStyle w:val="ListParagraphChar"/>
        </w:rPr>
        <w:t>A 4</w:t>
      </w:r>
      <w:r w:rsidR="0082675E">
        <w:rPr>
          <w:rStyle w:val="ListParagraphChar"/>
        </w:rPr>
        <w:t>-</w:t>
      </w:r>
      <w:r w:rsidR="6B024671" w:rsidRPr="3CEA2146">
        <w:rPr>
          <w:rStyle w:val="ListParagraphChar"/>
        </w:rPr>
        <w:t>year M</w:t>
      </w:r>
      <w:r w:rsidR="0082675E">
        <w:rPr>
          <w:rStyle w:val="ListParagraphChar"/>
        </w:rPr>
        <w:t xml:space="preserve">edium </w:t>
      </w:r>
      <w:r w:rsidR="6B024671" w:rsidRPr="3CEA2146">
        <w:rPr>
          <w:rStyle w:val="ListParagraphChar"/>
        </w:rPr>
        <w:t>T</w:t>
      </w:r>
      <w:r w:rsidR="0082675E">
        <w:rPr>
          <w:rStyle w:val="ListParagraphChar"/>
        </w:rPr>
        <w:t xml:space="preserve">erm </w:t>
      </w:r>
      <w:r w:rsidR="6B024671" w:rsidRPr="3CEA2146">
        <w:rPr>
          <w:rStyle w:val="ListParagraphChar"/>
        </w:rPr>
        <w:t>F</w:t>
      </w:r>
      <w:r w:rsidR="0082675E">
        <w:rPr>
          <w:rStyle w:val="ListParagraphChar"/>
        </w:rPr>
        <w:t xml:space="preserve">inancial </w:t>
      </w:r>
      <w:r w:rsidR="6B024671" w:rsidRPr="3CEA2146">
        <w:rPr>
          <w:rStyle w:val="ListParagraphChar"/>
        </w:rPr>
        <w:t>S</w:t>
      </w:r>
      <w:r w:rsidR="0082675E">
        <w:rPr>
          <w:rStyle w:val="ListParagraphChar"/>
        </w:rPr>
        <w:t>trategy (MTFS)</w:t>
      </w:r>
      <w:r w:rsidR="6B024671" w:rsidRPr="3CEA2146">
        <w:rPr>
          <w:rStyle w:val="ListParagraphChar"/>
        </w:rPr>
        <w:t xml:space="preserve"> whilst not a legal requirement is deemed good practice since it </w:t>
      </w:r>
      <w:r w:rsidR="00714064" w:rsidRPr="3CEA2146">
        <w:rPr>
          <w:rStyle w:val="ListParagraphChar"/>
        </w:rPr>
        <w:lastRenderedPageBreak/>
        <w:t>facilitates</w:t>
      </w:r>
      <w:r w:rsidR="6B024671" w:rsidRPr="3CEA2146">
        <w:rPr>
          <w:rStyle w:val="ListParagraphChar"/>
        </w:rPr>
        <w:t xml:space="preserve"> long term financial planning </w:t>
      </w:r>
      <w:r w:rsidR="3D158B31" w:rsidRPr="3CEA2146">
        <w:rPr>
          <w:rStyle w:val="ListParagraphChar"/>
        </w:rPr>
        <w:t xml:space="preserve">and the prudent use of </w:t>
      </w:r>
      <w:r w:rsidR="0BA547D4" w:rsidRPr="3CEA2146">
        <w:rPr>
          <w:rStyle w:val="ListParagraphChar"/>
        </w:rPr>
        <w:t>reserves</w:t>
      </w:r>
      <w:r w:rsidR="73F6CFE3" w:rsidRPr="3CEA2146">
        <w:rPr>
          <w:rStyle w:val="ListParagraphChar"/>
        </w:rPr>
        <w:t xml:space="preserve">, indicates </w:t>
      </w:r>
      <w:r w:rsidR="32E1167B" w:rsidRPr="3CEA2146">
        <w:rPr>
          <w:rStyle w:val="ListParagraphChar"/>
        </w:rPr>
        <w:t>sustainability</w:t>
      </w:r>
      <w:r w:rsidR="73F6CFE3" w:rsidRPr="3CEA2146">
        <w:rPr>
          <w:rStyle w:val="ListParagraphChar"/>
        </w:rPr>
        <w:t xml:space="preserve"> of the organisation and supports the </w:t>
      </w:r>
      <w:r w:rsidR="46519C43" w:rsidRPr="3CEA2146">
        <w:rPr>
          <w:rStyle w:val="ListParagraphChar"/>
        </w:rPr>
        <w:t>demonstration of ‘going concern’ to the external auditors and other interested parties</w:t>
      </w:r>
      <w:r w:rsidR="44B76E5F" w:rsidRPr="3CEA2146">
        <w:rPr>
          <w:rStyle w:val="ListParagraphChar"/>
        </w:rPr>
        <w:t>.</w:t>
      </w:r>
      <w:r w:rsidR="0BA547D4" w:rsidRPr="3CEA2146">
        <w:rPr>
          <w:rStyle w:val="ListParagraphChar"/>
        </w:rPr>
        <w:t xml:space="preserve"> </w:t>
      </w:r>
      <w:r w:rsidR="00C13C26" w:rsidRPr="3CEA2146">
        <w:rPr>
          <w:rStyle w:val="ListParagraphChar"/>
        </w:rPr>
        <w:t>Supported by the Corporate Management Team</w:t>
      </w:r>
      <w:r w:rsidR="0082675E">
        <w:rPr>
          <w:rStyle w:val="ListParagraphChar"/>
        </w:rPr>
        <w:t xml:space="preserve"> (CMT)</w:t>
      </w:r>
      <w:r w:rsidR="5CA3FFDA" w:rsidRPr="3CEA2146">
        <w:rPr>
          <w:rStyle w:val="ListParagraphChar"/>
        </w:rPr>
        <w:t>,</w:t>
      </w:r>
      <w:r w:rsidR="00C13C26" w:rsidRPr="3CEA2146">
        <w:rPr>
          <w:rStyle w:val="ListParagraphChar"/>
        </w:rPr>
        <w:t xml:space="preserve"> the Section 151 Officer ensure</w:t>
      </w:r>
      <w:r w:rsidR="006B5F89" w:rsidRPr="3CEA2146">
        <w:rPr>
          <w:rStyle w:val="ListParagraphChar"/>
        </w:rPr>
        <w:t>s</w:t>
      </w:r>
      <w:r w:rsidR="00C13C26" w:rsidRPr="3CEA2146">
        <w:rPr>
          <w:rStyle w:val="ListParagraphChar"/>
        </w:rPr>
        <w:t xml:space="preserve"> </w:t>
      </w:r>
      <w:r w:rsidR="006B5F89" w:rsidRPr="3CEA2146">
        <w:rPr>
          <w:rStyle w:val="ListParagraphChar"/>
        </w:rPr>
        <w:t>t</w:t>
      </w:r>
      <w:r w:rsidR="00C13C26" w:rsidRPr="3CEA2146">
        <w:rPr>
          <w:rStyle w:val="ListParagraphChar"/>
        </w:rPr>
        <w:t xml:space="preserve">he </w:t>
      </w:r>
      <w:r w:rsidR="006B5F89" w:rsidRPr="3CEA2146">
        <w:rPr>
          <w:rStyle w:val="ListParagraphChar"/>
        </w:rPr>
        <w:t xml:space="preserve">robustness of the </w:t>
      </w:r>
      <w:r w:rsidR="00C13C26" w:rsidRPr="3CEA2146">
        <w:rPr>
          <w:rStyle w:val="ListParagraphChar"/>
        </w:rPr>
        <w:t xml:space="preserve">budget </w:t>
      </w:r>
      <w:r w:rsidR="006B5F89" w:rsidRPr="3CEA2146">
        <w:rPr>
          <w:rStyle w:val="ListParagraphChar"/>
        </w:rPr>
        <w:t xml:space="preserve">setting </w:t>
      </w:r>
      <w:r w:rsidR="00C13C26" w:rsidRPr="3CEA2146">
        <w:rPr>
          <w:rStyle w:val="ListParagraphChar"/>
        </w:rPr>
        <w:t xml:space="preserve">process </w:t>
      </w:r>
      <w:r w:rsidR="006B5F89" w:rsidRPr="3CEA2146">
        <w:rPr>
          <w:rStyle w:val="ListParagraphChar"/>
        </w:rPr>
        <w:t xml:space="preserve">in </w:t>
      </w:r>
      <w:r w:rsidR="00C13C26" w:rsidRPr="3CEA2146">
        <w:rPr>
          <w:rStyle w:val="ListParagraphChar"/>
        </w:rPr>
        <w:t>maintain</w:t>
      </w:r>
      <w:r w:rsidR="006B5F89" w:rsidRPr="3CEA2146">
        <w:rPr>
          <w:rStyle w:val="ListParagraphChar"/>
        </w:rPr>
        <w:t xml:space="preserve">ing </w:t>
      </w:r>
      <w:r w:rsidR="00C13C26" w:rsidRPr="3CEA2146">
        <w:rPr>
          <w:rStyle w:val="ListParagraphChar"/>
        </w:rPr>
        <w:t xml:space="preserve">this </w:t>
      </w:r>
      <w:r w:rsidR="006B5F89" w:rsidRPr="3CEA2146">
        <w:rPr>
          <w:rStyle w:val="ListParagraphChar"/>
        </w:rPr>
        <w:t>balanced position</w:t>
      </w:r>
      <w:r w:rsidR="62E73697" w:rsidRPr="3CEA2146">
        <w:rPr>
          <w:rStyle w:val="ListParagraphChar"/>
        </w:rPr>
        <w:t xml:space="preserve">. </w:t>
      </w:r>
      <w:r w:rsidR="1344E699" w:rsidRPr="3CEA2146">
        <w:rPr>
          <w:rStyle w:val="ListParagraphChar"/>
        </w:rPr>
        <w:t>R</w:t>
      </w:r>
      <w:r w:rsidR="00C13C26" w:rsidRPr="3CEA2146">
        <w:rPr>
          <w:rStyle w:val="ListParagraphChar"/>
        </w:rPr>
        <w:t>eports on this and also the levels of reserves</w:t>
      </w:r>
      <w:r w:rsidR="00D20128" w:rsidRPr="3CEA2146">
        <w:rPr>
          <w:rStyle w:val="ListParagraphChar"/>
        </w:rPr>
        <w:t>,</w:t>
      </w:r>
      <w:r w:rsidR="00C13C26" w:rsidRPr="3CEA2146">
        <w:rPr>
          <w:rStyle w:val="ListParagraphChar"/>
        </w:rPr>
        <w:t xml:space="preserve"> </w:t>
      </w:r>
      <w:r w:rsidR="006B5F89" w:rsidRPr="3CEA2146">
        <w:rPr>
          <w:rStyle w:val="ListParagraphChar"/>
        </w:rPr>
        <w:t xml:space="preserve">are included </w:t>
      </w:r>
      <w:r w:rsidR="00C13C26" w:rsidRPr="3CEA2146">
        <w:rPr>
          <w:rStyle w:val="ListParagraphChar"/>
        </w:rPr>
        <w:t xml:space="preserve">within the Section 25 report </w:t>
      </w:r>
      <w:r w:rsidR="006B5F89" w:rsidRPr="3CEA2146">
        <w:rPr>
          <w:rStyle w:val="ListParagraphChar"/>
        </w:rPr>
        <w:t>presented e</w:t>
      </w:r>
      <w:r w:rsidR="00C13C26" w:rsidRPr="3CEA2146">
        <w:rPr>
          <w:rStyle w:val="ListParagraphChar"/>
        </w:rPr>
        <w:t xml:space="preserve">ach year to </w:t>
      </w:r>
      <w:r w:rsidR="0082675E">
        <w:rPr>
          <w:rStyle w:val="ListParagraphChar"/>
        </w:rPr>
        <w:t>F</w:t>
      </w:r>
      <w:r w:rsidR="00C13C26" w:rsidRPr="3CEA2146">
        <w:rPr>
          <w:rStyle w:val="ListParagraphChar"/>
        </w:rPr>
        <w:t xml:space="preserve">ull </w:t>
      </w:r>
      <w:r w:rsidR="0082675E">
        <w:rPr>
          <w:rStyle w:val="ListParagraphChar"/>
        </w:rPr>
        <w:t>C</w:t>
      </w:r>
      <w:r w:rsidR="00C13C26" w:rsidRPr="3CEA2146">
        <w:rPr>
          <w:rStyle w:val="ListParagraphChar"/>
        </w:rPr>
        <w:t xml:space="preserve">ouncil. </w:t>
      </w:r>
    </w:p>
    <w:p w14:paraId="2F4F57FE" w14:textId="0AE32CA0" w:rsidR="00C13C26" w:rsidRDefault="001C2F9C" w:rsidP="008B1476">
      <w:pPr>
        <w:pStyle w:val="ListParagraph"/>
        <w:numPr>
          <w:ilvl w:val="0"/>
          <w:numId w:val="0"/>
        </w:numPr>
        <w:ind w:left="720"/>
        <w:jc w:val="both"/>
        <w:rPr>
          <w:rStyle w:val="ListParagraphChar"/>
        </w:rPr>
      </w:pPr>
      <w:r w:rsidRPr="3CEA2146">
        <w:rPr>
          <w:rStyle w:val="ListParagraphChar"/>
        </w:rPr>
        <w:t xml:space="preserve">Budget monitoring is reported to the CMT on a monthly basis and to Cabinet on a quarterly basis. </w:t>
      </w:r>
      <w:r w:rsidR="00C13C26" w:rsidRPr="3CEA2146">
        <w:rPr>
          <w:rStyle w:val="ListParagraphChar"/>
        </w:rPr>
        <w:t xml:space="preserve">In the past no major variances to budget have arisen </w:t>
      </w:r>
      <w:r w:rsidR="0EDE5042" w:rsidRPr="3CEA2146">
        <w:rPr>
          <w:rStyle w:val="ListParagraphChar"/>
        </w:rPr>
        <w:t xml:space="preserve">although the impact of </w:t>
      </w:r>
      <w:r w:rsidR="0082675E">
        <w:rPr>
          <w:rStyle w:val="ListParagraphChar"/>
        </w:rPr>
        <w:t>COVID-19</w:t>
      </w:r>
      <w:r w:rsidR="0EDE5042" w:rsidRPr="3CEA2146">
        <w:rPr>
          <w:rStyle w:val="ListParagraphChar"/>
        </w:rPr>
        <w:t xml:space="preserve"> in 2020-21 and the resulting tail</w:t>
      </w:r>
      <w:r w:rsidR="0082675E">
        <w:rPr>
          <w:rStyle w:val="ListParagraphChar"/>
        </w:rPr>
        <w:t>-</w:t>
      </w:r>
      <w:r w:rsidR="0EDE5042" w:rsidRPr="3CEA2146">
        <w:rPr>
          <w:rStyle w:val="ListParagraphChar"/>
        </w:rPr>
        <w:t xml:space="preserve">off in 2021-22 impacted the </w:t>
      </w:r>
      <w:r w:rsidR="00442773">
        <w:rPr>
          <w:rStyle w:val="ListParagraphChar"/>
        </w:rPr>
        <w:t>C</w:t>
      </w:r>
      <w:r w:rsidR="003E786C" w:rsidRPr="3CEA2146">
        <w:rPr>
          <w:rStyle w:val="ListParagraphChar"/>
        </w:rPr>
        <w:t>ouncil’s</w:t>
      </w:r>
      <w:r w:rsidR="0EDE5042" w:rsidRPr="3CEA2146">
        <w:rPr>
          <w:rStyle w:val="ListParagraphChar"/>
        </w:rPr>
        <w:t xml:space="preserve"> fina</w:t>
      </w:r>
      <w:r w:rsidR="578628AA" w:rsidRPr="3CEA2146">
        <w:rPr>
          <w:rStyle w:val="ListParagraphChar"/>
        </w:rPr>
        <w:t xml:space="preserve">nces quite significantly as </w:t>
      </w:r>
      <w:r w:rsidR="00C13C26" w:rsidRPr="3CEA2146">
        <w:rPr>
          <w:rStyle w:val="ListParagraphChar"/>
        </w:rPr>
        <w:t>illustrated below</w:t>
      </w:r>
      <w:r w:rsidR="013AC284" w:rsidRPr="3CEA2146">
        <w:rPr>
          <w:rStyle w:val="ListParagraphChar"/>
        </w:rPr>
        <w:t>. This y</w:t>
      </w:r>
      <w:r w:rsidR="00C13C26" w:rsidRPr="3CEA2146">
        <w:rPr>
          <w:rStyle w:val="ListParagraphChar"/>
        </w:rPr>
        <w:t>ear</w:t>
      </w:r>
      <w:r w:rsidR="261D38EB" w:rsidRPr="3CEA2146">
        <w:rPr>
          <w:rStyle w:val="ListParagraphChar"/>
        </w:rPr>
        <w:t>, 2023-24</w:t>
      </w:r>
      <w:r w:rsidR="00C13C26" w:rsidRPr="3CEA2146">
        <w:rPr>
          <w:rStyle w:val="ListParagraphChar"/>
        </w:rPr>
        <w:t xml:space="preserve"> </w:t>
      </w:r>
      <w:r w:rsidR="155D98DF" w:rsidRPr="3CEA2146">
        <w:rPr>
          <w:rStyle w:val="ListParagraphChar"/>
        </w:rPr>
        <w:t xml:space="preserve">has seen </w:t>
      </w:r>
      <w:r w:rsidR="00C13C26" w:rsidRPr="3CEA2146">
        <w:rPr>
          <w:rStyle w:val="ListParagraphChar"/>
        </w:rPr>
        <w:t xml:space="preserve">the emerging national problem of homelessness </w:t>
      </w:r>
      <w:r w:rsidR="1EB225E0" w:rsidRPr="3CEA2146">
        <w:rPr>
          <w:rStyle w:val="ListParagraphChar"/>
        </w:rPr>
        <w:t xml:space="preserve">which </w:t>
      </w:r>
      <w:r w:rsidR="00C13C26" w:rsidRPr="3CEA2146">
        <w:rPr>
          <w:rStyle w:val="ListParagraphChar"/>
        </w:rPr>
        <w:t xml:space="preserve">has created a deficit in the revenue budget of approximately £1million which officers are </w:t>
      </w:r>
      <w:r w:rsidR="3BF67273" w:rsidRPr="3CEA2146">
        <w:rPr>
          <w:rStyle w:val="ListParagraphChar"/>
        </w:rPr>
        <w:t>work</w:t>
      </w:r>
      <w:r w:rsidR="00C13C26" w:rsidRPr="3CEA2146">
        <w:rPr>
          <w:rStyle w:val="ListParagraphChar"/>
        </w:rPr>
        <w:t xml:space="preserve">ing to mitigate. It is also true that the </w:t>
      </w:r>
      <w:r w:rsidR="00442773">
        <w:rPr>
          <w:rStyle w:val="ListParagraphChar"/>
        </w:rPr>
        <w:t>C</w:t>
      </w:r>
      <w:r w:rsidR="00C13C26" w:rsidRPr="3CEA2146">
        <w:rPr>
          <w:rStyle w:val="ListParagraphChar"/>
        </w:rPr>
        <w:t>ouncil struggles to prevent slippage in the capital programme partly due to size of the programme and the development nature of the projects</w:t>
      </w:r>
      <w:r w:rsidR="00D20128" w:rsidRPr="3CEA2146">
        <w:rPr>
          <w:rStyle w:val="ListParagraphChar"/>
        </w:rPr>
        <w:t>,</w:t>
      </w:r>
      <w:r w:rsidR="00C13C26" w:rsidRPr="3CEA2146">
        <w:rPr>
          <w:rStyle w:val="ListParagraphChar"/>
        </w:rPr>
        <w:t xml:space="preserve"> but also due partly to the over</w:t>
      </w:r>
      <w:r w:rsidR="00442773">
        <w:rPr>
          <w:rStyle w:val="ListParagraphChar"/>
        </w:rPr>
        <w:t>-</w:t>
      </w:r>
      <w:r w:rsidR="00C13C26" w:rsidRPr="3CEA2146">
        <w:rPr>
          <w:rStyle w:val="ListParagraphChar"/>
        </w:rPr>
        <w:t>optimism of officers when they are setting capital budget</w:t>
      </w:r>
      <w:r w:rsidR="007A4FC1" w:rsidRPr="3CEA2146">
        <w:rPr>
          <w:rStyle w:val="ListParagraphChar"/>
        </w:rPr>
        <w:t>s</w:t>
      </w:r>
      <w:r w:rsidR="00C13C26" w:rsidRPr="3CEA2146">
        <w:rPr>
          <w:rStyle w:val="ListParagraphChar"/>
        </w:rPr>
        <w:t>.</w:t>
      </w:r>
      <w:r w:rsidR="008A64A7" w:rsidRPr="3CEA2146">
        <w:rPr>
          <w:rStyle w:val="ListParagraphChar"/>
        </w:rPr>
        <w:t xml:space="preserve"> </w:t>
      </w:r>
      <w:r w:rsidR="00C13C26" w:rsidRPr="3CEA2146">
        <w:rPr>
          <w:rStyle w:val="ListParagraphChar"/>
        </w:rPr>
        <w:t xml:space="preserve">It is an issue which officers are </w:t>
      </w:r>
      <w:r w:rsidR="33DADA58" w:rsidRPr="3CEA2146">
        <w:rPr>
          <w:rStyle w:val="ListParagraphChar"/>
        </w:rPr>
        <w:t>work</w:t>
      </w:r>
      <w:r w:rsidR="00C13C26" w:rsidRPr="3CEA2146">
        <w:rPr>
          <w:rStyle w:val="ListParagraphChar"/>
        </w:rPr>
        <w:t>ing to address</w:t>
      </w:r>
      <w:r w:rsidR="00095D55" w:rsidRPr="3CEA2146">
        <w:rPr>
          <w:rStyle w:val="ListParagraphChar"/>
        </w:rPr>
        <w:t>.</w:t>
      </w:r>
    </w:p>
    <w:p w14:paraId="57C6B826" w14:textId="77777777" w:rsidR="008E1921" w:rsidRDefault="008E1921" w:rsidP="003330F2">
      <w:pPr>
        <w:pStyle w:val="ListParagraph"/>
        <w:numPr>
          <w:ilvl w:val="0"/>
          <w:numId w:val="0"/>
        </w:numPr>
        <w:ind w:left="426"/>
        <w:jc w:val="both"/>
        <w:rPr>
          <w:rStyle w:val="ListParagraphChar"/>
        </w:rPr>
      </w:pPr>
    </w:p>
    <w:p w14:paraId="2C0F47AE" w14:textId="4B69627B" w:rsidR="008E1921" w:rsidRPr="00095D55" w:rsidRDefault="0076370E" w:rsidP="008E1921">
      <w:pPr>
        <w:spacing w:after="0"/>
        <w:ind w:left="420"/>
        <w:jc w:val="both"/>
        <w:textAlignment w:val="baseline"/>
        <w:rPr>
          <w:rFonts w:cs="Arial"/>
          <w:b/>
          <w:color w:val="D13438"/>
        </w:rPr>
      </w:pPr>
      <w:r>
        <w:rPr>
          <w:rFonts w:cs="Arial"/>
          <w:b/>
        </w:rPr>
        <w:t xml:space="preserve">Service </w:t>
      </w:r>
      <w:r w:rsidR="008E1921" w:rsidRPr="008E1921">
        <w:rPr>
          <w:rFonts w:cs="Arial"/>
          <w:b/>
        </w:rPr>
        <w:t xml:space="preserve">Revenue variations </w:t>
      </w:r>
      <w:r w:rsidR="00095D55" w:rsidRPr="00095D55">
        <w:rPr>
          <w:rFonts w:cs="Arial"/>
          <w:b/>
        </w:rPr>
        <w:t>to budget – 2020-21 to 2023-24 </w:t>
      </w:r>
      <w:r w:rsidR="008E1921" w:rsidRPr="008E1921">
        <w:rPr>
          <w:rFonts w:cs="Arial"/>
          <w:b/>
          <w:color w:val="D13438"/>
        </w:rPr>
        <w:t> </w:t>
      </w:r>
    </w:p>
    <w:p w14:paraId="613DACBC" w14:textId="77777777" w:rsidR="008E1921" w:rsidRPr="008E1921" w:rsidRDefault="008E1921" w:rsidP="008E1921">
      <w:pPr>
        <w:spacing w:after="0"/>
        <w:ind w:left="420"/>
        <w:jc w:val="both"/>
        <w:textAlignment w:val="baseline"/>
        <w:rPr>
          <w:rFonts w:ascii="Segoe UI" w:hAnsi="Segoe UI" w:cs="Segoe UI"/>
          <w:sz w:val="18"/>
          <w:szCs w:val="18"/>
        </w:rPr>
      </w:pPr>
      <w:r w:rsidRPr="008E1921">
        <w:rPr>
          <w:rFonts w:cs="Arial"/>
          <w:color w:val="D13438"/>
        </w:rPr>
        <w:t> </w:t>
      </w: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395"/>
        <w:gridCol w:w="1395"/>
        <w:gridCol w:w="1395"/>
        <w:gridCol w:w="1395"/>
        <w:gridCol w:w="1395"/>
      </w:tblGrid>
      <w:tr w:rsidR="00C1120D" w:rsidRPr="00442773" w14:paraId="350D4A16" w14:textId="77777777" w:rsidTr="00C1120D">
        <w:trPr>
          <w:trHeight w:val="900"/>
        </w:trPr>
        <w:tc>
          <w:tcPr>
            <w:tcW w:w="22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16188FED" w14:textId="77777777" w:rsidR="00C1120D" w:rsidRPr="00442773" w:rsidRDefault="00C1120D" w:rsidP="008E1921">
            <w:pPr>
              <w:spacing w:after="0"/>
              <w:textAlignment w:val="baseline"/>
              <w:rPr>
                <w:rFonts w:cs="Arial"/>
              </w:rPr>
            </w:pPr>
            <w:r w:rsidRPr="00442773">
              <w:rPr>
                <w:rFonts w:cs="Arial"/>
                <w:color w:val="D13438"/>
                <w:u w:val="single"/>
              </w:rPr>
              <w:t> </w:t>
            </w:r>
            <w:r w:rsidRPr="00442773">
              <w:rPr>
                <w:rFonts w:cs="Arial"/>
                <w:color w:val="D13438"/>
              </w:rPr>
              <w:t> </w:t>
            </w:r>
          </w:p>
        </w:tc>
        <w:tc>
          <w:tcPr>
            <w:tcW w:w="1395"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47563297" w14:textId="6E38FB5E" w:rsidR="00C1120D" w:rsidRPr="00442773" w:rsidRDefault="00C1120D" w:rsidP="00C1120D">
            <w:pPr>
              <w:spacing w:after="0"/>
              <w:jc w:val="center"/>
              <w:textAlignment w:val="baseline"/>
              <w:rPr>
                <w:rFonts w:cs="Arial"/>
                <w:color w:val="auto"/>
              </w:rPr>
            </w:pPr>
            <w:r w:rsidRPr="00442773">
              <w:rPr>
                <w:rFonts w:cs="Arial"/>
                <w:color w:val="auto"/>
              </w:rPr>
              <w:t>Original Net Service Expenditure</w:t>
            </w:r>
          </w:p>
        </w:tc>
        <w:tc>
          <w:tcPr>
            <w:tcW w:w="1395" w:type="dxa"/>
            <w:tcBorders>
              <w:top w:val="single" w:sz="6" w:space="0" w:color="auto"/>
              <w:left w:val="nil"/>
              <w:bottom w:val="single" w:sz="6" w:space="0" w:color="auto"/>
              <w:right w:val="single" w:sz="4" w:space="0" w:color="auto"/>
            </w:tcBorders>
            <w:shd w:val="clear" w:color="auto" w:fill="BFBFBF" w:themeFill="background1" w:themeFillShade="BF"/>
            <w:vAlign w:val="center"/>
            <w:hideMark/>
          </w:tcPr>
          <w:p w14:paraId="5AB33025" w14:textId="5D7DDC7F" w:rsidR="00C1120D" w:rsidRPr="00442773" w:rsidRDefault="00C1120D" w:rsidP="00C1120D">
            <w:pPr>
              <w:spacing w:after="0"/>
              <w:jc w:val="center"/>
              <w:rPr>
                <w:rFonts w:cs="Arial"/>
                <w:color w:val="auto"/>
              </w:rPr>
            </w:pPr>
            <w:r w:rsidRPr="00442773">
              <w:rPr>
                <w:rFonts w:cs="Arial"/>
                <w:color w:val="auto"/>
              </w:rPr>
              <w:t>Revised Net Service Expenditure</w:t>
            </w:r>
          </w:p>
          <w:p w14:paraId="3005C398" w14:textId="511CEB5B" w:rsidR="00C1120D" w:rsidRPr="00442773" w:rsidRDefault="00C1120D" w:rsidP="00C1120D">
            <w:pPr>
              <w:spacing w:after="0"/>
              <w:jc w:val="center"/>
              <w:textAlignment w:val="baseline"/>
              <w:rPr>
                <w:rFonts w:cs="Arial"/>
                <w:color w:val="auto"/>
              </w:rPr>
            </w:pP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CC3E7" w14:textId="67D5468E" w:rsidR="00C1120D" w:rsidRPr="00442773" w:rsidRDefault="00C1120D" w:rsidP="00C1120D">
            <w:pPr>
              <w:spacing w:after="0"/>
              <w:jc w:val="center"/>
              <w:textAlignment w:val="baseline"/>
              <w:rPr>
                <w:rFonts w:cs="Arial"/>
                <w:color w:val="auto"/>
              </w:rPr>
            </w:pPr>
            <w:r w:rsidRPr="00442773">
              <w:rPr>
                <w:rFonts w:cs="Arial"/>
                <w:color w:val="auto"/>
              </w:rPr>
              <w:t>Actual Net Service Expenditure</w:t>
            </w:r>
          </w:p>
        </w:tc>
        <w:tc>
          <w:tcPr>
            <w:tcW w:w="1395"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hideMark/>
          </w:tcPr>
          <w:p w14:paraId="682D6E2A" w14:textId="1E0B8728" w:rsidR="00C1120D" w:rsidRPr="00442773" w:rsidRDefault="00C1120D" w:rsidP="00C1120D">
            <w:pPr>
              <w:spacing w:after="0"/>
              <w:jc w:val="center"/>
              <w:textAlignment w:val="baseline"/>
              <w:rPr>
                <w:rFonts w:cs="Arial"/>
                <w:color w:val="auto"/>
              </w:rPr>
            </w:pPr>
            <w:r w:rsidRPr="00442773">
              <w:rPr>
                <w:rFonts w:cs="Arial"/>
                <w:color w:val="auto"/>
              </w:rPr>
              <w:t>Variance</w:t>
            </w:r>
          </w:p>
        </w:tc>
        <w:tc>
          <w:tcPr>
            <w:tcW w:w="1395"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31E83A31" w14:textId="5645974B" w:rsidR="00C1120D" w:rsidRPr="00442773" w:rsidRDefault="00C1120D" w:rsidP="00C1120D">
            <w:pPr>
              <w:spacing w:after="0"/>
              <w:jc w:val="center"/>
              <w:textAlignment w:val="baseline"/>
              <w:rPr>
                <w:rFonts w:cs="Arial"/>
                <w:color w:val="auto"/>
              </w:rPr>
            </w:pPr>
            <w:r w:rsidRPr="00442773">
              <w:rPr>
                <w:rFonts w:cs="Arial"/>
                <w:color w:val="auto"/>
                <w:u w:val="single"/>
              </w:rPr>
              <w:t>Variance</w:t>
            </w:r>
          </w:p>
        </w:tc>
      </w:tr>
      <w:tr w:rsidR="00C1120D" w:rsidRPr="00442773" w14:paraId="1FC30DA7" w14:textId="77777777" w:rsidTr="00C1120D">
        <w:trPr>
          <w:trHeight w:val="300"/>
        </w:trPr>
        <w:tc>
          <w:tcPr>
            <w:tcW w:w="2235" w:type="dxa"/>
            <w:tcBorders>
              <w:top w:val="nil"/>
              <w:left w:val="single" w:sz="6" w:space="0" w:color="auto"/>
              <w:bottom w:val="single" w:sz="6" w:space="0" w:color="auto"/>
              <w:right w:val="single" w:sz="6" w:space="0" w:color="auto"/>
            </w:tcBorders>
            <w:shd w:val="clear" w:color="auto" w:fill="auto"/>
            <w:vAlign w:val="bottom"/>
            <w:hideMark/>
          </w:tcPr>
          <w:p w14:paraId="59DFF120" w14:textId="3071F448" w:rsidR="00C1120D" w:rsidRPr="00442773" w:rsidRDefault="00C1120D" w:rsidP="008E1921">
            <w:pPr>
              <w:spacing w:after="0"/>
              <w:textAlignment w:val="baseline"/>
              <w:rPr>
                <w:rFonts w:cs="Arial"/>
                <w:color w:val="auto"/>
              </w:rPr>
            </w:pPr>
          </w:p>
        </w:tc>
        <w:tc>
          <w:tcPr>
            <w:tcW w:w="1395" w:type="dxa"/>
            <w:tcBorders>
              <w:top w:val="nil"/>
              <w:left w:val="nil"/>
              <w:bottom w:val="single" w:sz="6" w:space="0" w:color="auto"/>
              <w:right w:val="single" w:sz="6" w:space="0" w:color="auto"/>
            </w:tcBorders>
            <w:shd w:val="clear" w:color="auto" w:fill="auto"/>
            <w:vAlign w:val="bottom"/>
            <w:hideMark/>
          </w:tcPr>
          <w:p w14:paraId="7F324F3C" w14:textId="3916A4F5" w:rsidR="00C1120D" w:rsidRPr="00442773" w:rsidRDefault="00C1120D" w:rsidP="00095D55">
            <w:pPr>
              <w:spacing w:after="0"/>
              <w:jc w:val="center"/>
              <w:textAlignment w:val="baseline"/>
              <w:rPr>
                <w:rFonts w:cs="Arial"/>
                <w:color w:val="auto"/>
              </w:rPr>
            </w:pPr>
            <w:r w:rsidRPr="00442773">
              <w:rPr>
                <w:rFonts w:cs="Arial"/>
                <w:color w:val="auto"/>
                <w:u w:val="single"/>
              </w:rPr>
              <w:t>£'000</w:t>
            </w:r>
          </w:p>
        </w:tc>
        <w:tc>
          <w:tcPr>
            <w:tcW w:w="1395" w:type="dxa"/>
            <w:tcBorders>
              <w:top w:val="nil"/>
              <w:left w:val="nil"/>
              <w:bottom w:val="single" w:sz="6" w:space="0" w:color="auto"/>
              <w:right w:val="single" w:sz="4" w:space="0" w:color="auto"/>
            </w:tcBorders>
            <w:shd w:val="clear" w:color="auto" w:fill="auto"/>
            <w:vAlign w:val="bottom"/>
            <w:hideMark/>
          </w:tcPr>
          <w:p w14:paraId="26E7DD79" w14:textId="3F0FD121" w:rsidR="00C1120D" w:rsidRPr="00442773" w:rsidRDefault="00C1120D" w:rsidP="00095D55">
            <w:pPr>
              <w:spacing w:after="0"/>
              <w:jc w:val="center"/>
              <w:textAlignment w:val="baseline"/>
              <w:rPr>
                <w:rFonts w:cs="Arial"/>
                <w:color w:val="auto"/>
              </w:rPr>
            </w:pPr>
            <w:r w:rsidRPr="00442773">
              <w:rPr>
                <w:rFonts w:cs="Arial"/>
                <w:color w:val="auto"/>
                <w:u w:val="single"/>
              </w:rPr>
              <w:t>£'000</w:t>
            </w:r>
          </w:p>
        </w:tc>
        <w:tc>
          <w:tcPr>
            <w:tcW w:w="1395" w:type="dxa"/>
            <w:tcBorders>
              <w:top w:val="single" w:sz="4" w:space="0" w:color="auto"/>
              <w:left w:val="single" w:sz="4" w:space="0" w:color="auto"/>
              <w:bottom w:val="single" w:sz="4" w:space="0" w:color="auto"/>
              <w:right w:val="single" w:sz="4" w:space="0" w:color="auto"/>
            </w:tcBorders>
          </w:tcPr>
          <w:p w14:paraId="3C6B7B63" w14:textId="3E773237" w:rsidR="00C1120D" w:rsidRPr="00442773" w:rsidRDefault="00C1120D" w:rsidP="00095D55">
            <w:pPr>
              <w:spacing w:after="0"/>
              <w:jc w:val="center"/>
              <w:textAlignment w:val="baseline"/>
              <w:rPr>
                <w:rFonts w:cs="Arial"/>
                <w:color w:val="auto"/>
                <w:u w:val="single"/>
              </w:rPr>
            </w:pPr>
            <w:r w:rsidRPr="00442773">
              <w:rPr>
                <w:rFonts w:cs="Arial"/>
                <w:color w:val="auto"/>
                <w:u w:val="single"/>
              </w:rPr>
              <w:t>£'000</w:t>
            </w:r>
          </w:p>
        </w:tc>
        <w:tc>
          <w:tcPr>
            <w:tcW w:w="1395" w:type="dxa"/>
            <w:tcBorders>
              <w:top w:val="nil"/>
              <w:left w:val="single" w:sz="4" w:space="0" w:color="auto"/>
              <w:bottom w:val="single" w:sz="4" w:space="0" w:color="auto"/>
              <w:right w:val="single" w:sz="6" w:space="0" w:color="auto"/>
            </w:tcBorders>
            <w:shd w:val="clear" w:color="auto" w:fill="auto"/>
            <w:vAlign w:val="bottom"/>
            <w:hideMark/>
          </w:tcPr>
          <w:p w14:paraId="28283D88" w14:textId="0B043B81" w:rsidR="00C1120D" w:rsidRPr="00442773" w:rsidRDefault="00C1120D" w:rsidP="00095D55">
            <w:pPr>
              <w:spacing w:after="0"/>
              <w:jc w:val="center"/>
              <w:textAlignment w:val="baseline"/>
              <w:rPr>
                <w:rFonts w:cs="Arial"/>
                <w:color w:val="auto"/>
              </w:rPr>
            </w:pPr>
            <w:r w:rsidRPr="00442773">
              <w:rPr>
                <w:rFonts w:cs="Arial"/>
                <w:color w:val="auto"/>
                <w:u w:val="single"/>
              </w:rPr>
              <w:t>£'000</w:t>
            </w:r>
          </w:p>
        </w:tc>
        <w:tc>
          <w:tcPr>
            <w:tcW w:w="1395" w:type="dxa"/>
            <w:tcBorders>
              <w:top w:val="nil"/>
              <w:left w:val="nil"/>
              <w:bottom w:val="single" w:sz="6" w:space="0" w:color="auto"/>
              <w:right w:val="single" w:sz="6" w:space="0" w:color="auto"/>
            </w:tcBorders>
            <w:shd w:val="clear" w:color="auto" w:fill="auto"/>
            <w:vAlign w:val="bottom"/>
            <w:hideMark/>
          </w:tcPr>
          <w:p w14:paraId="2ACD4454" w14:textId="4D790A05" w:rsidR="00C1120D" w:rsidRPr="00442773" w:rsidRDefault="00C1120D" w:rsidP="00095D55">
            <w:pPr>
              <w:spacing w:after="0"/>
              <w:jc w:val="center"/>
              <w:textAlignment w:val="baseline"/>
              <w:rPr>
                <w:rFonts w:cs="Arial"/>
                <w:color w:val="auto"/>
              </w:rPr>
            </w:pPr>
            <w:r w:rsidRPr="00442773">
              <w:rPr>
                <w:rFonts w:cs="Arial"/>
                <w:color w:val="auto"/>
              </w:rPr>
              <w:t>%</w:t>
            </w:r>
          </w:p>
        </w:tc>
      </w:tr>
      <w:tr w:rsidR="00C1120D" w:rsidRPr="00442773" w14:paraId="161F720B" w14:textId="77777777" w:rsidTr="00C1120D">
        <w:trPr>
          <w:trHeight w:val="300"/>
        </w:trPr>
        <w:tc>
          <w:tcPr>
            <w:tcW w:w="2235" w:type="dxa"/>
            <w:tcBorders>
              <w:top w:val="nil"/>
              <w:left w:val="single" w:sz="6" w:space="0" w:color="auto"/>
              <w:bottom w:val="single" w:sz="6" w:space="0" w:color="auto"/>
              <w:right w:val="single" w:sz="6" w:space="0" w:color="auto"/>
            </w:tcBorders>
            <w:shd w:val="clear" w:color="auto" w:fill="auto"/>
            <w:vAlign w:val="bottom"/>
            <w:hideMark/>
          </w:tcPr>
          <w:p w14:paraId="18EF8FEB" w14:textId="14307697" w:rsidR="00C1120D" w:rsidRPr="00442773" w:rsidRDefault="00C1120D" w:rsidP="008E1921">
            <w:pPr>
              <w:spacing w:after="0"/>
              <w:textAlignment w:val="baseline"/>
              <w:rPr>
                <w:rFonts w:cs="Arial"/>
                <w:color w:val="auto"/>
              </w:rPr>
            </w:pPr>
            <w:r w:rsidRPr="00442773">
              <w:rPr>
                <w:rFonts w:cs="Arial"/>
                <w:color w:val="auto"/>
              </w:rPr>
              <w:t>2020/21 </w:t>
            </w:r>
          </w:p>
        </w:tc>
        <w:tc>
          <w:tcPr>
            <w:tcW w:w="1395" w:type="dxa"/>
            <w:tcBorders>
              <w:top w:val="nil"/>
              <w:left w:val="nil"/>
              <w:bottom w:val="single" w:sz="6" w:space="0" w:color="auto"/>
              <w:right w:val="single" w:sz="6" w:space="0" w:color="auto"/>
            </w:tcBorders>
            <w:shd w:val="clear" w:color="auto" w:fill="auto"/>
            <w:vAlign w:val="bottom"/>
            <w:hideMark/>
          </w:tcPr>
          <w:p w14:paraId="3970F274" w14:textId="0C96004E" w:rsidR="00C1120D" w:rsidRPr="00442773" w:rsidRDefault="00C1120D" w:rsidP="008E1921">
            <w:pPr>
              <w:spacing w:after="0"/>
              <w:jc w:val="right"/>
              <w:textAlignment w:val="baseline"/>
              <w:rPr>
                <w:rFonts w:cs="Arial"/>
                <w:color w:val="auto"/>
              </w:rPr>
            </w:pPr>
            <w:r w:rsidRPr="00442773">
              <w:rPr>
                <w:rFonts w:cs="Arial"/>
                <w:color w:val="auto"/>
              </w:rPr>
              <w:t>30,291 </w:t>
            </w:r>
          </w:p>
        </w:tc>
        <w:tc>
          <w:tcPr>
            <w:tcW w:w="1395" w:type="dxa"/>
            <w:tcBorders>
              <w:top w:val="nil"/>
              <w:left w:val="nil"/>
              <w:bottom w:val="single" w:sz="6" w:space="0" w:color="auto"/>
              <w:right w:val="single" w:sz="6" w:space="0" w:color="auto"/>
            </w:tcBorders>
            <w:shd w:val="clear" w:color="auto" w:fill="auto"/>
            <w:vAlign w:val="bottom"/>
            <w:hideMark/>
          </w:tcPr>
          <w:p w14:paraId="7AC6B12F" w14:textId="4B2C8C00" w:rsidR="00C1120D" w:rsidRPr="00442773" w:rsidRDefault="00C1120D" w:rsidP="008E1921">
            <w:pPr>
              <w:spacing w:after="0"/>
              <w:jc w:val="right"/>
              <w:textAlignment w:val="baseline"/>
              <w:rPr>
                <w:rFonts w:cs="Arial"/>
                <w:color w:val="auto"/>
              </w:rPr>
            </w:pPr>
            <w:r w:rsidRPr="00442773">
              <w:rPr>
                <w:rFonts w:cs="Arial"/>
                <w:color w:val="auto"/>
              </w:rPr>
              <w:t>27,729 </w:t>
            </w:r>
          </w:p>
        </w:tc>
        <w:tc>
          <w:tcPr>
            <w:tcW w:w="1395" w:type="dxa"/>
            <w:tcBorders>
              <w:top w:val="single" w:sz="4" w:space="0" w:color="auto"/>
              <w:left w:val="nil"/>
              <w:bottom w:val="single" w:sz="6" w:space="0" w:color="auto"/>
              <w:right w:val="single" w:sz="4" w:space="0" w:color="auto"/>
            </w:tcBorders>
          </w:tcPr>
          <w:p w14:paraId="1D13D148" w14:textId="0703A79B" w:rsidR="00C1120D" w:rsidRPr="00442773" w:rsidRDefault="00C1120D" w:rsidP="00C1120D">
            <w:pPr>
              <w:spacing w:after="0"/>
              <w:jc w:val="right"/>
              <w:textAlignment w:val="baseline"/>
              <w:rPr>
                <w:rFonts w:cs="Arial"/>
                <w:color w:val="auto"/>
              </w:rPr>
            </w:pPr>
            <w:r w:rsidRPr="00442773">
              <w:rPr>
                <w:rFonts w:cs="Arial"/>
                <w:color w:val="auto"/>
              </w:rPr>
              <w:t>33,688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8409A" w14:textId="2499FB0E" w:rsidR="00C1120D" w:rsidRPr="00442773" w:rsidRDefault="00C1120D" w:rsidP="008E1921">
            <w:pPr>
              <w:spacing w:after="0"/>
              <w:jc w:val="right"/>
              <w:textAlignment w:val="baseline"/>
              <w:rPr>
                <w:rFonts w:cs="Arial"/>
                <w:color w:val="auto"/>
              </w:rPr>
            </w:pPr>
            <w:r w:rsidRPr="00442773">
              <w:rPr>
                <w:rFonts w:cs="Arial"/>
                <w:color w:val="auto"/>
              </w:rPr>
              <w:t>5,959</w:t>
            </w:r>
          </w:p>
        </w:tc>
        <w:tc>
          <w:tcPr>
            <w:tcW w:w="1395" w:type="dxa"/>
            <w:tcBorders>
              <w:top w:val="nil"/>
              <w:left w:val="single" w:sz="4" w:space="0" w:color="auto"/>
              <w:bottom w:val="single" w:sz="6" w:space="0" w:color="auto"/>
              <w:right w:val="single" w:sz="6" w:space="0" w:color="auto"/>
            </w:tcBorders>
            <w:shd w:val="clear" w:color="auto" w:fill="auto"/>
            <w:vAlign w:val="bottom"/>
            <w:hideMark/>
          </w:tcPr>
          <w:p w14:paraId="0D231669" w14:textId="0EDF2D60" w:rsidR="00C1120D" w:rsidRPr="00442773" w:rsidRDefault="00C1120D" w:rsidP="008E1921">
            <w:pPr>
              <w:spacing w:after="0"/>
              <w:jc w:val="right"/>
              <w:textAlignment w:val="baseline"/>
              <w:rPr>
                <w:rFonts w:cs="Arial"/>
                <w:color w:val="auto"/>
              </w:rPr>
            </w:pPr>
            <w:r w:rsidRPr="00442773">
              <w:rPr>
                <w:rFonts w:cs="Arial"/>
                <w:color w:val="auto"/>
              </w:rPr>
              <w:t>21 </w:t>
            </w:r>
          </w:p>
        </w:tc>
      </w:tr>
      <w:tr w:rsidR="00C1120D" w:rsidRPr="00442773" w14:paraId="707516E9" w14:textId="77777777" w:rsidTr="00C1120D">
        <w:trPr>
          <w:trHeight w:val="300"/>
        </w:trPr>
        <w:tc>
          <w:tcPr>
            <w:tcW w:w="2235" w:type="dxa"/>
            <w:tcBorders>
              <w:top w:val="nil"/>
              <w:left w:val="single" w:sz="6" w:space="0" w:color="auto"/>
              <w:bottom w:val="single" w:sz="6" w:space="0" w:color="auto"/>
              <w:right w:val="single" w:sz="6" w:space="0" w:color="auto"/>
            </w:tcBorders>
            <w:shd w:val="clear" w:color="auto" w:fill="auto"/>
            <w:vAlign w:val="bottom"/>
            <w:hideMark/>
          </w:tcPr>
          <w:p w14:paraId="4F66D6CD" w14:textId="502AC766" w:rsidR="00C1120D" w:rsidRPr="00442773" w:rsidRDefault="00C1120D" w:rsidP="008E1921">
            <w:pPr>
              <w:spacing w:after="0"/>
              <w:textAlignment w:val="baseline"/>
              <w:rPr>
                <w:rFonts w:cs="Arial"/>
                <w:color w:val="auto"/>
              </w:rPr>
            </w:pPr>
            <w:r w:rsidRPr="00442773">
              <w:rPr>
                <w:rFonts w:cs="Arial"/>
                <w:color w:val="auto"/>
              </w:rPr>
              <w:t>2021/22 </w:t>
            </w:r>
          </w:p>
        </w:tc>
        <w:tc>
          <w:tcPr>
            <w:tcW w:w="1395" w:type="dxa"/>
            <w:tcBorders>
              <w:top w:val="nil"/>
              <w:left w:val="nil"/>
              <w:bottom w:val="single" w:sz="6" w:space="0" w:color="auto"/>
              <w:right w:val="single" w:sz="6" w:space="0" w:color="auto"/>
            </w:tcBorders>
            <w:shd w:val="clear" w:color="auto" w:fill="auto"/>
            <w:vAlign w:val="bottom"/>
            <w:hideMark/>
          </w:tcPr>
          <w:p w14:paraId="374B6943" w14:textId="328FA9E4" w:rsidR="00C1120D" w:rsidRPr="00442773" w:rsidRDefault="00C1120D" w:rsidP="008E1921">
            <w:pPr>
              <w:spacing w:after="0"/>
              <w:jc w:val="right"/>
              <w:textAlignment w:val="baseline"/>
              <w:rPr>
                <w:rFonts w:cs="Arial"/>
                <w:color w:val="auto"/>
              </w:rPr>
            </w:pPr>
            <w:r w:rsidRPr="00442773">
              <w:rPr>
                <w:rFonts w:cs="Arial"/>
                <w:color w:val="auto"/>
              </w:rPr>
              <w:t>35,794 </w:t>
            </w:r>
          </w:p>
        </w:tc>
        <w:tc>
          <w:tcPr>
            <w:tcW w:w="1395" w:type="dxa"/>
            <w:tcBorders>
              <w:top w:val="nil"/>
              <w:left w:val="nil"/>
              <w:bottom w:val="single" w:sz="6" w:space="0" w:color="auto"/>
              <w:right w:val="single" w:sz="6" w:space="0" w:color="auto"/>
            </w:tcBorders>
            <w:shd w:val="clear" w:color="auto" w:fill="auto"/>
            <w:vAlign w:val="bottom"/>
            <w:hideMark/>
          </w:tcPr>
          <w:p w14:paraId="47896947" w14:textId="05BF6732" w:rsidR="00C1120D" w:rsidRPr="00442773" w:rsidRDefault="00C1120D" w:rsidP="008E1921">
            <w:pPr>
              <w:spacing w:after="0"/>
              <w:jc w:val="right"/>
              <w:textAlignment w:val="baseline"/>
              <w:rPr>
                <w:rFonts w:cs="Arial"/>
                <w:color w:val="auto"/>
              </w:rPr>
            </w:pPr>
            <w:r w:rsidRPr="00442773">
              <w:rPr>
                <w:rFonts w:cs="Arial"/>
                <w:color w:val="auto"/>
              </w:rPr>
              <w:t>34,978 </w:t>
            </w:r>
          </w:p>
        </w:tc>
        <w:tc>
          <w:tcPr>
            <w:tcW w:w="1395" w:type="dxa"/>
            <w:tcBorders>
              <w:top w:val="nil"/>
              <w:left w:val="nil"/>
              <w:bottom w:val="single" w:sz="6" w:space="0" w:color="auto"/>
              <w:right w:val="single" w:sz="4" w:space="0" w:color="auto"/>
            </w:tcBorders>
          </w:tcPr>
          <w:p w14:paraId="556242A7" w14:textId="1AE6A1BD" w:rsidR="00C1120D" w:rsidRPr="00442773" w:rsidRDefault="00C1120D" w:rsidP="00C1120D">
            <w:pPr>
              <w:spacing w:after="0"/>
              <w:jc w:val="right"/>
              <w:textAlignment w:val="baseline"/>
              <w:rPr>
                <w:rFonts w:cs="Arial"/>
                <w:color w:val="auto"/>
              </w:rPr>
            </w:pPr>
            <w:r w:rsidRPr="00442773">
              <w:rPr>
                <w:rFonts w:cs="Arial"/>
                <w:color w:val="auto"/>
              </w:rPr>
              <w:t>39,309</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8A0AE" w14:textId="36F191C4" w:rsidR="00C1120D" w:rsidRPr="00442773" w:rsidRDefault="00C1120D" w:rsidP="008E1921">
            <w:pPr>
              <w:spacing w:after="0"/>
              <w:jc w:val="right"/>
              <w:textAlignment w:val="baseline"/>
              <w:rPr>
                <w:rFonts w:cs="Arial"/>
                <w:color w:val="auto"/>
              </w:rPr>
            </w:pPr>
            <w:r w:rsidRPr="00442773">
              <w:rPr>
                <w:rFonts w:cs="Arial"/>
                <w:color w:val="auto"/>
              </w:rPr>
              <w:t>4,331</w:t>
            </w:r>
          </w:p>
        </w:tc>
        <w:tc>
          <w:tcPr>
            <w:tcW w:w="1395" w:type="dxa"/>
            <w:tcBorders>
              <w:top w:val="nil"/>
              <w:left w:val="single" w:sz="4" w:space="0" w:color="auto"/>
              <w:bottom w:val="single" w:sz="6" w:space="0" w:color="auto"/>
              <w:right w:val="single" w:sz="6" w:space="0" w:color="auto"/>
            </w:tcBorders>
            <w:shd w:val="clear" w:color="auto" w:fill="auto"/>
            <w:vAlign w:val="bottom"/>
            <w:hideMark/>
          </w:tcPr>
          <w:p w14:paraId="635935E2" w14:textId="53F4919F" w:rsidR="00C1120D" w:rsidRPr="00442773" w:rsidRDefault="00C1120D" w:rsidP="008E1921">
            <w:pPr>
              <w:spacing w:after="0"/>
              <w:jc w:val="right"/>
              <w:textAlignment w:val="baseline"/>
              <w:rPr>
                <w:rFonts w:cs="Arial"/>
                <w:color w:val="auto"/>
              </w:rPr>
            </w:pPr>
            <w:r w:rsidRPr="00442773">
              <w:rPr>
                <w:rFonts w:cs="Arial"/>
                <w:color w:val="auto"/>
              </w:rPr>
              <w:t>12</w:t>
            </w:r>
          </w:p>
        </w:tc>
      </w:tr>
      <w:tr w:rsidR="00C1120D" w:rsidRPr="00442773" w14:paraId="1725AF4F" w14:textId="77777777" w:rsidTr="00C1120D">
        <w:trPr>
          <w:trHeight w:val="300"/>
        </w:trPr>
        <w:tc>
          <w:tcPr>
            <w:tcW w:w="2235" w:type="dxa"/>
            <w:tcBorders>
              <w:top w:val="nil"/>
              <w:left w:val="single" w:sz="6" w:space="0" w:color="auto"/>
              <w:bottom w:val="single" w:sz="6" w:space="0" w:color="auto"/>
              <w:right w:val="single" w:sz="6" w:space="0" w:color="auto"/>
            </w:tcBorders>
            <w:shd w:val="clear" w:color="auto" w:fill="auto"/>
            <w:vAlign w:val="bottom"/>
            <w:hideMark/>
          </w:tcPr>
          <w:p w14:paraId="56FCD37E" w14:textId="74F0AD06" w:rsidR="00C1120D" w:rsidRPr="00442773" w:rsidRDefault="00C1120D" w:rsidP="008E1921">
            <w:pPr>
              <w:spacing w:after="0"/>
              <w:textAlignment w:val="baseline"/>
              <w:rPr>
                <w:rFonts w:cs="Arial"/>
                <w:color w:val="auto"/>
              </w:rPr>
            </w:pPr>
            <w:r w:rsidRPr="00442773">
              <w:rPr>
                <w:rFonts w:cs="Arial"/>
                <w:color w:val="auto"/>
              </w:rPr>
              <w:t>2022/23 - Estimate </w:t>
            </w:r>
          </w:p>
        </w:tc>
        <w:tc>
          <w:tcPr>
            <w:tcW w:w="1395" w:type="dxa"/>
            <w:tcBorders>
              <w:top w:val="nil"/>
              <w:left w:val="nil"/>
              <w:bottom w:val="single" w:sz="6" w:space="0" w:color="auto"/>
              <w:right w:val="single" w:sz="6" w:space="0" w:color="auto"/>
            </w:tcBorders>
            <w:shd w:val="clear" w:color="auto" w:fill="auto"/>
            <w:vAlign w:val="bottom"/>
            <w:hideMark/>
          </w:tcPr>
          <w:p w14:paraId="3C4A6383" w14:textId="4CF7F23F" w:rsidR="00C1120D" w:rsidRPr="00442773" w:rsidRDefault="00C1120D" w:rsidP="008E1921">
            <w:pPr>
              <w:spacing w:after="0"/>
              <w:jc w:val="right"/>
              <w:textAlignment w:val="baseline"/>
              <w:rPr>
                <w:rFonts w:cs="Arial"/>
                <w:color w:val="auto"/>
              </w:rPr>
            </w:pPr>
            <w:r w:rsidRPr="00442773">
              <w:rPr>
                <w:rFonts w:cs="Arial"/>
                <w:color w:val="auto"/>
              </w:rPr>
              <w:t>34,225 </w:t>
            </w:r>
          </w:p>
        </w:tc>
        <w:tc>
          <w:tcPr>
            <w:tcW w:w="1395" w:type="dxa"/>
            <w:tcBorders>
              <w:top w:val="nil"/>
              <w:left w:val="nil"/>
              <w:bottom w:val="single" w:sz="6" w:space="0" w:color="auto"/>
              <w:right w:val="single" w:sz="6" w:space="0" w:color="auto"/>
            </w:tcBorders>
            <w:shd w:val="clear" w:color="auto" w:fill="auto"/>
            <w:vAlign w:val="bottom"/>
            <w:hideMark/>
          </w:tcPr>
          <w:p w14:paraId="6679D9D4" w14:textId="2F9B6B73" w:rsidR="00C1120D" w:rsidRPr="00442773" w:rsidRDefault="00C1120D" w:rsidP="008E1921">
            <w:pPr>
              <w:spacing w:after="0"/>
              <w:jc w:val="right"/>
              <w:textAlignment w:val="baseline"/>
              <w:rPr>
                <w:rFonts w:cs="Arial"/>
                <w:color w:val="auto"/>
              </w:rPr>
            </w:pPr>
            <w:r w:rsidRPr="00442773">
              <w:rPr>
                <w:rFonts w:cs="Arial"/>
                <w:color w:val="auto"/>
              </w:rPr>
              <w:t>32,559 </w:t>
            </w:r>
          </w:p>
        </w:tc>
        <w:tc>
          <w:tcPr>
            <w:tcW w:w="1395" w:type="dxa"/>
            <w:tcBorders>
              <w:top w:val="nil"/>
              <w:left w:val="nil"/>
              <w:bottom w:val="single" w:sz="6" w:space="0" w:color="auto"/>
              <w:right w:val="single" w:sz="4" w:space="0" w:color="auto"/>
            </w:tcBorders>
          </w:tcPr>
          <w:p w14:paraId="6C4CE483" w14:textId="7875E434" w:rsidR="00C1120D" w:rsidRPr="00442773" w:rsidRDefault="00C1120D" w:rsidP="008E1921">
            <w:pPr>
              <w:spacing w:after="0"/>
              <w:jc w:val="right"/>
              <w:textAlignment w:val="baseline"/>
              <w:rPr>
                <w:rFonts w:cs="Arial"/>
                <w:color w:val="auto"/>
              </w:rPr>
            </w:pPr>
            <w:r w:rsidRPr="00442773">
              <w:rPr>
                <w:rFonts w:cs="Arial"/>
                <w:color w:val="auto"/>
              </w:rPr>
              <w:t>33,224</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69319" w14:textId="51175530" w:rsidR="00C1120D" w:rsidRPr="00442773" w:rsidRDefault="00C1120D" w:rsidP="008E1921">
            <w:pPr>
              <w:spacing w:after="0"/>
              <w:jc w:val="right"/>
              <w:textAlignment w:val="baseline"/>
              <w:rPr>
                <w:rFonts w:cs="Arial"/>
                <w:color w:val="auto"/>
              </w:rPr>
            </w:pPr>
            <w:r w:rsidRPr="00442773">
              <w:rPr>
                <w:rFonts w:cs="Arial"/>
                <w:color w:val="auto"/>
              </w:rPr>
              <w:t>665 </w:t>
            </w:r>
          </w:p>
        </w:tc>
        <w:tc>
          <w:tcPr>
            <w:tcW w:w="1395" w:type="dxa"/>
            <w:tcBorders>
              <w:top w:val="nil"/>
              <w:left w:val="single" w:sz="4" w:space="0" w:color="auto"/>
              <w:bottom w:val="single" w:sz="6" w:space="0" w:color="auto"/>
              <w:right w:val="single" w:sz="6" w:space="0" w:color="auto"/>
            </w:tcBorders>
            <w:shd w:val="clear" w:color="auto" w:fill="auto"/>
            <w:vAlign w:val="bottom"/>
            <w:hideMark/>
          </w:tcPr>
          <w:p w14:paraId="7066144D" w14:textId="5A065C78" w:rsidR="00C1120D" w:rsidRPr="00442773" w:rsidRDefault="00C1120D" w:rsidP="008E1921">
            <w:pPr>
              <w:spacing w:after="0"/>
              <w:jc w:val="right"/>
              <w:textAlignment w:val="baseline"/>
              <w:rPr>
                <w:rFonts w:cs="Arial"/>
                <w:color w:val="auto"/>
              </w:rPr>
            </w:pPr>
            <w:r w:rsidRPr="00442773">
              <w:rPr>
                <w:rFonts w:cs="Arial"/>
                <w:color w:val="auto"/>
              </w:rPr>
              <w:t>2</w:t>
            </w:r>
          </w:p>
        </w:tc>
      </w:tr>
    </w:tbl>
    <w:p w14:paraId="1BC31B61" w14:textId="77777777" w:rsidR="008E1921" w:rsidRPr="008E1921" w:rsidRDefault="008E1921" w:rsidP="008E1921">
      <w:pPr>
        <w:spacing w:after="0"/>
        <w:ind w:left="420"/>
        <w:jc w:val="both"/>
        <w:textAlignment w:val="baseline"/>
        <w:rPr>
          <w:rFonts w:ascii="Segoe UI" w:hAnsi="Segoe UI" w:cs="Segoe UI"/>
          <w:sz w:val="18"/>
          <w:szCs w:val="18"/>
        </w:rPr>
      </w:pPr>
      <w:r w:rsidRPr="008E1921">
        <w:rPr>
          <w:rFonts w:cs="Arial"/>
          <w:color w:val="D13438"/>
        </w:rPr>
        <w:t> </w:t>
      </w:r>
    </w:p>
    <w:p w14:paraId="26FE1C20" w14:textId="77777777" w:rsidR="008E1921" w:rsidRPr="008E1921" w:rsidRDefault="008E1921" w:rsidP="008E1921">
      <w:pPr>
        <w:spacing w:after="0"/>
        <w:ind w:left="420"/>
        <w:jc w:val="both"/>
        <w:textAlignment w:val="baseline"/>
        <w:rPr>
          <w:rFonts w:ascii="Segoe UI" w:hAnsi="Segoe UI" w:cs="Segoe UI"/>
          <w:sz w:val="18"/>
          <w:szCs w:val="18"/>
        </w:rPr>
      </w:pPr>
      <w:r w:rsidRPr="008E1921">
        <w:rPr>
          <w:rFonts w:cs="Arial"/>
          <w:color w:val="D13438"/>
        </w:rPr>
        <w:t> </w:t>
      </w:r>
    </w:p>
    <w:p w14:paraId="4CD3F649" w14:textId="77777777" w:rsidR="008E1921" w:rsidRPr="00095D55" w:rsidRDefault="008E1921" w:rsidP="008E1921">
      <w:pPr>
        <w:spacing w:after="0"/>
        <w:ind w:left="420"/>
        <w:jc w:val="both"/>
        <w:textAlignment w:val="baseline"/>
        <w:rPr>
          <w:rFonts w:cs="Arial"/>
          <w:b/>
        </w:rPr>
      </w:pPr>
      <w:r w:rsidRPr="008E1921">
        <w:rPr>
          <w:rFonts w:cs="Arial"/>
          <w:b/>
        </w:rPr>
        <w:t>Capital variations – 2020-21 to 2023-24   </w:t>
      </w:r>
    </w:p>
    <w:p w14:paraId="7D89C0D4" w14:textId="4BF1F4DE" w:rsidR="008E1921" w:rsidRPr="008E1921" w:rsidRDefault="008E1921" w:rsidP="008E1921">
      <w:pPr>
        <w:spacing w:after="0"/>
        <w:ind w:left="420"/>
        <w:jc w:val="both"/>
        <w:textAlignment w:val="baseline"/>
        <w:rPr>
          <w:rFonts w:ascii="Segoe UI" w:hAnsi="Segoe UI" w:cs="Segoe UI"/>
          <w:sz w:val="18"/>
          <w:szCs w:val="18"/>
        </w:rPr>
      </w:pPr>
      <w:r w:rsidRPr="008E1921">
        <w:rPr>
          <w:rFonts w:cs="Arial"/>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418"/>
        <w:gridCol w:w="1276"/>
        <w:gridCol w:w="1417"/>
        <w:gridCol w:w="1418"/>
        <w:gridCol w:w="1417"/>
      </w:tblGrid>
      <w:tr w:rsidR="008E1921" w:rsidRPr="00442773" w14:paraId="60CA203D" w14:textId="77777777" w:rsidTr="00C1120D">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hideMark/>
          </w:tcPr>
          <w:p w14:paraId="28B7709D" w14:textId="77777777" w:rsidR="008E1921" w:rsidRPr="00442773" w:rsidRDefault="008E1921" w:rsidP="008E1921">
            <w:pPr>
              <w:spacing w:after="0"/>
              <w:textAlignment w:val="baseline"/>
              <w:rPr>
                <w:rFonts w:cs="Arial"/>
                <w:color w:val="auto"/>
              </w:rPr>
            </w:pPr>
            <w:r w:rsidRPr="00442773">
              <w:rPr>
                <w:rFonts w:cs="Arial"/>
                <w:color w:val="auto"/>
                <w:u w:val="single"/>
              </w:rPr>
              <w:t> </w:t>
            </w:r>
            <w:r w:rsidRPr="00442773">
              <w:rPr>
                <w:rFonts w:cs="Arial"/>
                <w:color w:val="auto"/>
              </w:rPr>
              <w:t> </w:t>
            </w:r>
          </w:p>
        </w:tc>
        <w:tc>
          <w:tcPr>
            <w:tcW w:w="1418"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20680A95" w14:textId="43E9B013" w:rsidR="008E1921" w:rsidRPr="00442773" w:rsidRDefault="008E1921" w:rsidP="00C1120D">
            <w:pPr>
              <w:spacing w:after="0"/>
              <w:jc w:val="center"/>
              <w:textAlignment w:val="baseline"/>
              <w:rPr>
                <w:rFonts w:cs="Arial"/>
                <w:color w:val="auto"/>
              </w:rPr>
            </w:pPr>
            <w:r w:rsidRPr="00442773">
              <w:rPr>
                <w:rFonts w:cs="Arial"/>
                <w:color w:val="auto"/>
              </w:rPr>
              <w:t>Original Budget</w:t>
            </w:r>
          </w:p>
        </w:tc>
        <w:tc>
          <w:tcPr>
            <w:tcW w:w="1276"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526ABDE9" w14:textId="771491E1" w:rsidR="008E1921" w:rsidRPr="00442773" w:rsidRDefault="008E1921" w:rsidP="00C1120D">
            <w:pPr>
              <w:spacing w:after="0"/>
              <w:jc w:val="center"/>
              <w:textAlignment w:val="baseline"/>
              <w:rPr>
                <w:rFonts w:cs="Arial"/>
                <w:color w:val="auto"/>
              </w:rPr>
            </w:pPr>
            <w:r w:rsidRPr="00442773">
              <w:rPr>
                <w:rFonts w:cs="Arial"/>
                <w:color w:val="auto"/>
              </w:rPr>
              <w:t>Revised Budget</w:t>
            </w:r>
          </w:p>
        </w:tc>
        <w:tc>
          <w:tcPr>
            <w:tcW w:w="1417"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64046DEE" w14:textId="6B2D61CB" w:rsidR="008E1921" w:rsidRPr="00442773" w:rsidRDefault="008E1921" w:rsidP="00C1120D">
            <w:pPr>
              <w:spacing w:after="0"/>
              <w:jc w:val="center"/>
              <w:textAlignment w:val="baseline"/>
              <w:rPr>
                <w:rFonts w:cs="Arial"/>
                <w:color w:val="auto"/>
              </w:rPr>
            </w:pPr>
            <w:r w:rsidRPr="00442773">
              <w:rPr>
                <w:rFonts w:cs="Arial"/>
                <w:color w:val="auto"/>
              </w:rPr>
              <w:t>Actual</w:t>
            </w:r>
          </w:p>
        </w:tc>
        <w:tc>
          <w:tcPr>
            <w:tcW w:w="1418"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18FA3EF2" w14:textId="470D88BB" w:rsidR="008E1921" w:rsidRPr="00442773" w:rsidRDefault="008E1921" w:rsidP="00C1120D">
            <w:pPr>
              <w:spacing w:after="0"/>
              <w:jc w:val="center"/>
              <w:textAlignment w:val="baseline"/>
              <w:rPr>
                <w:rFonts w:cs="Arial"/>
                <w:color w:val="auto"/>
              </w:rPr>
            </w:pPr>
            <w:r w:rsidRPr="00442773">
              <w:rPr>
                <w:rFonts w:cs="Arial"/>
                <w:color w:val="auto"/>
              </w:rPr>
              <w:t>% Actual spend v Original Budget</w:t>
            </w:r>
          </w:p>
        </w:tc>
        <w:tc>
          <w:tcPr>
            <w:tcW w:w="1417"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534D8A94" w14:textId="6D433BA2" w:rsidR="008E1921" w:rsidRPr="00442773" w:rsidRDefault="008E1921" w:rsidP="00C1120D">
            <w:pPr>
              <w:spacing w:after="0"/>
              <w:jc w:val="center"/>
              <w:textAlignment w:val="baseline"/>
              <w:rPr>
                <w:rFonts w:cs="Arial"/>
                <w:color w:val="auto"/>
              </w:rPr>
            </w:pPr>
            <w:r w:rsidRPr="00442773">
              <w:rPr>
                <w:rFonts w:cs="Arial"/>
                <w:color w:val="auto"/>
              </w:rPr>
              <w:t>% Actual Spend v Revised Budget</w:t>
            </w:r>
          </w:p>
        </w:tc>
      </w:tr>
      <w:tr w:rsidR="008E1921" w:rsidRPr="00442773" w14:paraId="2734FCBC" w14:textId="77777777" w:rsidTr="004F24D8">
        <w:trPr>
          <w:trHeight w:val="300"/>
        </w:trPr>
        <w:tc>
          <w:tcPr>
            <w:tcW w:w="2260" w:type="dxa"/>
            <w:tcBorders>
              <w:top w:val="nil"/>
              <w:left w:val="single" w:sz="6" w:space="0" w:color="auto"/>
              <w:bottom w:val="single" w:sz="6" w:space="0" w:color="auto"/>
              <w:right w:val="single" w:sz="6" w:space="0" w:color="auto"/>
            </w:tcBorders>
            <w:shd w:val="clear" w:color="auto" w:fill="BFBFBF" w:themeFill="background1" w:themeFillShade="BF"/>
            <w:vAlign w:val="bottom"/>
            <w:hideMark/>
          </w:tcPr>
          <w:p w14:paraId="4543A125" w14:textId="74517225" w:rsidR="008E1921" w:rsidRPr="00442773" w:rsidRDefault="008E1921" w:rsidP="008E1921">
            <w:pPr>
              <w:spacing w:after="0"/>
              <w:textAlignment w:val="baseline"/>
              <w:rPr>
                <w:rFonts w:cs="Arial"/>
                <w:color w:val="auto"/>
              </w:rPr>
            </w:pPr>
          </w:p>
        </w:tc>
        <w:tc>
          <w:tcPr>
            <w:tcW w:w="1418" w:type="dxa"/>
            <w:tcBorders>
              <w:top w:val="nil"/>
              <w:left w:val="nil"/>
              <w:bottom w:val="single" w:sz="6" w:space="0" w:color="auto"/>
              <w:right w:val="single" w:sz="6" w:space="0" w:color="auto"/>
            </w:tcBorders>
            <w:shd w:val="clear" w:color="auto" w:fill="BFBFBF" w:themeFill="background1" w:themeFillShade="BF"/>
            <w:vAlign w:val="bottom"/>
            <w:hideMark/>
          </w:tcPr>
          <w:p w14:paraId="4E89F23D" w14:textId="47539D8D" w:rsidR="008E1921" w:rsidRPr="00442773" w:rsidRDefault="008E1921" w:rsidP="00095D55">
            <w:pPr>
              <w:spacing w:after="0"/>
              <w:jc w:val="center"/>
              <w:textAlignment w:val="baseline"/>
              <w:rPr>
                <w:rFonts w:cs="Arial"/>
                <w:color w:val="auto"/>
              </w:rPr>
            </w:pPr>
            <w:r w:rsidRPr="00442773">
              <w:rPr>
                <w:rFonts w:cs="Arial"/>
                <w:color w:val="auto"/>
                <w:u w:val="single"/>
              </w:rPr>
              <w:t>£'000</w:t>
            </w:r>
          </w:p>
        </w:tc>
        <w:tc>
          <w:tcPr>
            <w:tcW w:w="1276" w:type="dxa"/>
            <w:tcBorders>
              <w:top w:val="nil"/>
              <w:left w:val="nil"/>
              <w:bottom w:val="single" w:sz="6" w:space="0" w:color="auto"/>
              <w:right w:val="single" w:sz="6" w:space="0" w:color="auto"/>
            </w:tcBorders>
            <w:shd w:val="clear" w:color="auto" w:fill="BFBFBF" w:themeFill="background1" w:themeFillShade="BF"/>
            <w:vAlign w:val="bottom"/>
            <w:hideMark/>
          </w:tcPr>
          <w:p w14:paraId="1D1EFA49" w14:textId="6DD0130B" w:rsidR="008E1921" w:rsidRPr="00442773" w:rsidRDefault="008E1921" w:rsidP="00095D55">
            <w:pPr>
              <w:spacing w:after="0"/>
              <w:jc w:val="center"/>
              <w:textAlignment w:val="baseline"/>
              <w:rPr>
                <w:rFonts w:cs="Arial"/>
                <w:color w:val="auto"/>
              </w:rPr>
            </w:pPr>
            <w:r w:rsidRPr="00442773">
              <w:rPr>
                <w:rFonts w:cs="Arial"/>
                <w:color w:val="auto"/>
                <w:u w:val="single"/>
              </w:rPr>
              <w:t>£'000</w:t>
            </w:r>
          </w:p>
        </w:tc>
        <w:tc>
          <w:tcPr>
            <w:tcW w:w="1417" w:type="dxa"/>
            <w:tcBorders>
              <w:top w:val="nil"/>
              <w:left w:val="nil"/>
              <w:bottom w:val="single" w:sz="6" w:space="0" w:color="auto"/>
              <w:right w:val="single" w:sz="6" w:space="0" w:color="auto"/>
            </w:tcBorders>
            <w:shd w:val="clear" w:color="auto" w:fill="BFBFBF" w:themeFill="background1" w:themeFillShade="BF"/>
            <w:vAlign w:val="bottom"/>
            <w:hideMark/>
          </w:tcPr>
          <w:p w14:paraId="48747A1E" w14:textId="6277919E" w:rsidR="008E1921" w:rsidRPr="00442773" w:rsidRDefault="008E1921" w:rsidP="00095D55">
            <w:pPr>
              <w:spacing w:after="0"/>
              <w:jc w:val="center"/>
              <w:textAlignment w:val="baseline"/>
              <w:rPr>
                <w:rFonts w:cs="Arial"/>
                <w:color w:val="auto"/>
              </w:rPr>
            </w:pPr>
            <w:r w:rsidRPr="00442773">
              <w:rPr>
                <w:rFonts w:cs="Arial"/>
                <w:color w:val="auto"/>
                <w:u w:val="single"/>
              </w:rPr>
              <w:t>£'000</w:t>
            </w:r>
          </w:p>
        </w:tc>
        <w:tc>
          <w:tcPr>
            <w:tcW w:w="1418" w:type="dxa"/>
            <w:tcBorders>
              <w:top w:val="nil"/>
              <w:left w:val="nil"/>
              <w:bottom w:val="single" w:sz="6" w:space="0" w:color="auto"/>
              <w:right w:val="single" w:sz="6" w:space="0" w:color="auto"/>
            </w:tcBorders>
            <w:shd w:val="clear" w:color="auto" w:fill="BFBFBF" w:themeFill="background1" w:themeFillShade="BF"/>
            <w:vAlign w:val="bottom"/>
            <w:hideMark/>
          </w:tcPr>
          <w:p w14:paraId="377DA232" w14:textId="201A47B9" w:rsidR="008E1921" w:rsidRPr="00442773" w:rsidRDefault="008E1921" w:rsidP="00095D55">
            <w:pPr>
              <w:spacing w:after="0"/>
              <w:jc w:val="center"/>
              <w:textAlignment w:val="baseline"/>
              <w:rPr>
                <w:rFonts w:cs="Arial"/>
                <w:color w:val="auto"/>
              </w:rPr>
            </w:pPr>
            <w:r w:rsidRPr="00442773">
              <w:rPr>
                <w:rFonts w:cs="Arial"/>
                <w:color w:val="auto"/>
                <w:u w:val="single"/>
              </w:rPr>
              <w:t>£'000</w:t>
            </w:r>
          </w:p>
        </w:tc>
        <w:tc>
          <w:tcPr>
            <w:tcW w:w="1417" w:type="dxa"/>
            <w:tcBorders>
              <w:top w:val="nil"/>
              <w:left w:val="nil"/>
              <w:bottom w:val="single" w:sz="6" w:space="0" w:color="auto"/>
              <w:right w:val="single" w:sz="6" w:space="0" w:color="auto"/>
            </w:tcBorders>
            <w:shd w:val="clear" w:color="auto" w:fill="BFBFBF" w:themeFill="background1" w:themeFillShade="BF"/>
            <w:vAlign w:val="bottom"/>
            <w:hideMark/>
          </w:tcPr>
          <w:p w14:paraId="69C43513" w14:textId="2B3E3835" w:rsidR="008E1921" w:rsidRPr="00442773" w:rsidRDefault="008E1921" w:rsidP="00095D55">
            <w:pPr>
              <w:spacing w:after="0"/>
              <w:jc w:val="center"/>
              <w:textAlignment w:val="baseline"/>
              <w:rPr>
                <w:rFonts w:cs="Arial"/>
                <w:color w:val="auto"/>
              </w:rPr>
            </w:pPr>
            <w:r w:rsidRPr="00442773">
              <w:rPr>
                <w:rFonts w:cs="Arial"/>
                <w:color w:val="auto"/>
                <w:u w:val="single"/>
              </w:rPr>
              <w:t>£'000</w:t>
            </w:r>
          </w:p>
        </w:tc>
      </w:tr>
      <w:tr w:rsidR="008E1921" w:rsidRPr="00442773" w14:paraId="64D8DCC3" w14:textId="77777777" w:rsidTr="00095D55">
        <w:trPr>
          <w:trHeight w:val="300"/>
        </w:trPr>
        <w:tc>
          <w:tcPr>
            <w:tcW w:w="2260" w:type="dxa"/>
            <w:tcBorders>
              <w:top w:val="nil"/>
              <w:left w:val="single" w:sz="6" w:space="0" w:color="auto"/>
              <w:bottom w:val="single" w:sz="6" w:space="0" w:color="auto"/>
              <w:right w:val="single" w:sz="6" w:space="0" w:color="auto"/>
            </w:tcBorders>
            <w:shd w:val="clear" w:color="auto" w:fill="auto"/>
            <w:vAlign w:val="bottom"/>
            <w:hideMark/>
          </w:tcPr>
          <w:p w14:paraId="36D0822D" w14:textId="5B6E2D2D" w:rsidR="008E1921" w:rsidRPr="00442773" w:rsidRDefault="008E1921" w:rsidP="008E1921">
            <w:pPr>
              <w:spacing w:after="0"/>
              <w:textAlignment w:val="baseline"/>
              <w:rPr>
                <w:rFonts w:cs="Arial"/>
                <w:color w:val="auto"/>
              </w:rPr>
            </w:pPr>
            <w:r w:rsidRPr="00442773">
              <w:rPr>
                <w:rFonts w:cs="Arial"/>
                <w:color w:val="auto"/>
              </w:rPr>
              <w:t>20</w:t>
            </w:r>
            <w:r w:rsidR="00095D55" w:rsidRPr="00442773">
              <w:rPr>
                <w:rFonts w:cs="Arial"/>
                <w:color w:val="auto"/>
              </w:rPr>
              <w:t>20</w:t>
            </w:r>
            <w:r w:rsidRPr="00442773">
              <w:rPr>
                <w:rFonts w:cs="Arial"/>
                <w:color w:val="auto"/>
              </w:rPr>
              <w:t>/21 </w:t>
            </w:r>
          </w:p>
        </w:tc>
        <w:tc>
          <w:tcPr>
            <w:tcW w:w="1418" w:type="dxa"/>
            <w:tcBorders>
              <w:top w:val="nil"/>
              <w:left w:val="nil"/>
              <w:bottom w:val="single" w:sz="6" w:space="0" w:color="auto"/>
              <w:right w:val="single" w:sz="6" w:space="0" w:color="auto"/>
            </w:tcBorders>
            <w:shd w:val="clear" w:color="auto" w:fill="auto"/>
            <w:vAlign w:val="bottom"/>
            <w:hideMark/>
          </w:tcPr>
          <w:p w14:paraId="781ED5EE" w14:textId="77777777" w:rsidR="008E1921" w:rsidRPr="00442773" w:rsidRDefault="008E1921" w:rsidP="008E1921">
            <w:pPr>
              <w:spacing w:after="0"/>
              <w:jc w:val="right"/>
              <w:textAlignment w:val="baseline"/>
              <w:rPr>
                <w:rFonts w:cs="Arial"/>
                <w:color w:val="auto"/>
              </w:rPr>
            </w:pPr>
            <w:r w:rsidRPr="00442773">
              <w:rPr>
                <w:rFonts w:cs="Arial"/>
                <w:color w:val="auto"/>
              </w:rPr>
              <w:t>142,569 </w:t>
            </w:r>
          </w:p>
        </w:tc>
        <w:tc>
          <w:tcPr>
            <w:tcW w:w="1276" w:type="dxa"/>
            <w:tcBorders>
              <w:top w:val="nil"/>
              <w:left w:val="nil"/>
              <w:bottom w:val="single" w:sz="6" w:space="0" w:color="auto"/>
              <w:right w:val="single" w:sz="6" w:space="0" w:color="auto"/>
            </w:tcBorders>
            <w:shd w:val="clear" w:color="auto" w:fill="auto"/>
            <w:vAlign w:val="bottom"/>
            <w:hideMark/>
          </w:tcPr>
          <w:p w14:paraId="520206A4" w14:textId="77777777" w:rsidR="008E1921" w:rsidRPr="00442773" w:rsidRDefault="008E1921" w:rsidP="008E1921">
            <w:pPr>
              <w:spacing w:after="0"/>
              <w:jc w:val="right"/>
              <w:textAlignment w:val="baseline"/>
              <w:rPr>
                <w:rFonts w:cs="Arial"/>
                <w:color w:val="auto"/>
              </w:rPr>
            </w:pPr>
            <w:r w:rsidRPr="00442773">
              <w:rPr>
                <w:rFonts w:cs="Arial"/>
                <w:color w:val="auto"/>
              </w:rPr>
              <w:t>78,754 </w:t>
            </w:r>
          </w:p>
        </w:tc>
        <w:tc>
          <w:tcPr>
            <w:tcW w:w="1417" w:type="dxa"/>
            <w:tcBorders>
              <w:top w:val="nil"/>
              <w:left w:val="nil"/>
              <w:bottom w:val="single" w:sz="6" w:space="0" w:color="auto"/>
              <w:right w:val="single" w:sz="6" w:space="0" w:color="auto"/>
            </w:tcBorders>
            <w:shd w:val="clear" w:color="auto" w:fill="auto"/>
            <w:vAlign w:val="bottom"/>
            <w:hideMark/>
          </w:tcPr>
          <w:p w14:paraId="32C5B318" w14:textId="77777777" w:rsidR="008E1921" w:rsidRPr="00442773" w:rsidRDefault="008E1921" w:rsidP="008E1921">
            <w:pPr>
              <w:spacing w:after="0"/>
              <w:jc w:val="right"/>
              <w:textAlignment w:val="baseline"/>
              <w:rPr>
                <w:rFonts w:cs="Arial"/>
                <w:color w:val="auto"/>
              </w:rPr>
            </w:pPr>
            <w:r w:rsidRPr="00442773">
              <w:rPr>
                <w:rFonts w:cs="Arial"/>
                <w:color w:val="auto"/>
              </w:rPr>
              <w:t>68,780 </w:t>
            </w:r>
          </w:p>
        </w:tc>
        <w:tc>
          <w:tcPr>
            <w:tcW w:w="1418" w:type="dxa"/>
            <w:tcBorders>
              <w:top w:val="nil"/>
              <w:left w:val="nil"/>
              <w:bottom w:val="single" w:sz="6" w:space="0" w:color="auto"/>
              <w:right w:val="single" w:sz="6" w:space="0" w:color="auto"/>
            </w:tcBorders>
            <w:shd w:val="clear" w:color="auto" w:fill="auto"/>
            <w:vAlign w:val="bottom"/>
            <w:hideMark/>
          </w:tcPr>
          <w:p w14:paraId="657480AD" w14:textId="77777777" w:rsidR="008E1921" w:rsidRPr="00442773" w:rsidRDefault="008E1921" w:rsidP="008E1921">
            <w:pPr>
              <w:spacing w:after="0"/>
              <w:jc w:val="right"/>
              <w:textAlignment w:val="baseline"/>
              <w:rPr>
                <w:rFonts w:cs="Arial"/>
                <w:color w:val="auto"/>
              </w:rPr>
            </w:pPr>
            <w:r w:rsidRPr="00442773">
              <w:rPr>
                <w:rFonts w:cs="Arial"/>
                <w:color w:val="auto"/>
              </w:rPr>
              <w:t>48.24% </w:t>
            </w:r>
          </w:p>
        </w:tc>
        <w:tc>
          <w:tcPr>
            <w:tcW w:w="1417" w:type="dxa"/>
            <w:tcBorders>
              <w:top w:val="nil"/>
              <w:left w:val="nil"/>
              <w:bottom w:val="single" w:sz="6" w:space="0" w:color="auto"/>
              <w:right w:val="single" w:sz="6" w:space="0" w:color="auto"/>
            </w:tcBorders>
            <w:shd w:val="clear" w:color="auto" w:fill="auto"/>
            <w:vAlign w:val="bottom"/>
            <w:hideMark/>
          </w:tcPr>
          <w:p w14:paraId="41794856" w14:textId="77777777" w:rsidR="008E1921" w:rsidRPr="00442773" w:rsidRDefault="008E1921" w:rsidP="008E1921">
            <w:pPr>
              <w:spacing w:after="0"/>
              <w:jc w:val="right"/>
              <w:textAlignment w:val="baseline"/>
              <w:rPr>
                <w:rFonts w:cs="Arial"/>
                <w:color w:val="auto"/>
              </w:rPr>
            </w:pPr>
            <w:r w:rsidRPr="00442773">
              <w:rPr>
                <w:rFonts w:cs="Arial"/>
                <w:color w:val="auto"/>
              </w:rPr>
              <w:t>87.34% </w:t>
            </w:r>
          </w:p>
        </w:tc>
      </w:tr>
      <w:tr w:rsidR="008E1921" w:rsidRPr="00442773" w14:paraId="77650745" w14:textId="77777777" w:rsidTr="00095D55">
        <w:trPr>
          <w:trHeight w:val="300"/>
        </w:trPr>
        <w:tc>
          <w:tcPr>
            <w:tcW w:w="2260" w:type="dxa"/>
            <w:tcBorders>
              <w:top w:val="nil"/>
              <w:left w:val="single" w:sz="6" w:space="0" w:color="auto"/>
              <w:bottom w:val="single" w:sz="6" w:space="0" w:color="auto"/>
              <w:right w:val="single" w:sz="6" w:space="0" w:color="auto"/>
            </w:tcBorders>
            <w:shd w:val="clear" w:color="auto" w:fill="auto"/>
            <w:vAlign w:val="bottom"/>
            <w:hideMark/>
          </w:tcPr>
          <w:p w14:paraId="6E9A16A7" w14:textId="2CC7ED71" w:rsidR="008E1921" w:rsidRPr="00442773" w:rsidRDefault="00095D55" w:rsidP="008E1921">
            <w:pPr>
              <w:spacing w:after="0"/>
              <w:textAlignment w:val="baseline"/>
              <w:rPr>
                <w:rFonts w:cs="Arial"/>
                <w:color w:val="auto"/>
              </w:rPr>
            </w:pPr>
            <w:r w:rsidRPr="00442773">
              <w:rPr>
                <w:rFonts w:cs="Arial"/>
                <w:color w:val="auto"/>
              </w:rPr>
              <w:t>20</w:t>
            </w:r>
            <w:r w:rsidR="008E1921" w:rsidRPr="00442773">
              <w:rPr>
                <w:rFonts w:cs="Arial"/>
                <w:color w:val="auto"/>
              </w:rPr>
              <w:t>21/22 </w:t>
            </w:r>
          </w:p>
        </w:tc>
        <w:tc>
          <w:tcPr>
            <w:tcW w:w="1418" w:type="dxa"/>
            <w:tcBorders>
              <w:top w:val="nil"/>
              <w:left w:val="nil"/>
              <w:bottom w:val="single" w:sz="6" w:space="0" w:color="auto"/>
              <w:right w:val="single" w:sz="6" w:space="0" w:color="auto"/>
            </w:tcBorders>
            <w:shd w:val="clear" w:color="auto" w:fill="auto"/>
            <w:vAlign w:val="bottom"/>
            <w:hideMark/>
          </w:tcPr>
          <w:p w14:paraId="28640180" w14:textId="77777777" w:rsidR="008E1921" w:rsidRPr="00442773" w:rsidRDefault="008E1921" w:rsidP="008E1921">
            <w:pPr>
              <w:spacing w:after="0"/>
              <w:jc w:val="right"/>
              <w:textAlignment w:val="baseline"/>
              <w:rPr>
                <w:rFonts w:cs="Arial"/>
                <w:color w:val="auto"/>
              </w:rPr>
            </w:pPr>
            <w:r w:rsidRPr="00442773">
              <w:rPr>
                <w:rFonts w:cs="Arial"/>
                <w:color w:val="auto"/>
              </w:rPr>
              <w:t>185,382 </w:t>
            </w:r>
          </w:p>
        </w:tc>
        <w:tc>
          <w:tcPr>
            <w:tcW w:w="1276" w:type="dxa"/>
            <w:tcBorders>
              <w:top w:val="nil"/>
              <w:left w:val="nil"/>
              <w:bottom w:val="single" w:sz="6" w:space="0" w:color="auto"/>
              <w:right w:val="single" w:sz="6" w:space="0" w:color="auto"/>
            </w:tcBorders>
            <w:shd w:val="clear" w:color="auto" w:fill="auto"/>
            <w:vAlign w:val="bottom"/>
            <w:hideMark/>
          </w:tcPr>
          <w:p w14:paraId="1F9A56A8" w14:textId="77777777" w:rsidR="008E1921" w:rsidRPr="00442773" w:rsidRDefault="008E1921" w:rsidP="008E1921">
            <w:pPr>
              <w:spacing w:after="0"/>
              <w:jc w:val="right"/>
              <w:textAlignment w:val="baseline"/>
              <w:rPr>
                <w:rFonts w:cs="Arial"/>
                <w:color w:val="auto"/>
              </w:rPr>
            </w:pPr>
            <w:r w:rsidRPr="00442773">
              <w:rPr>
                <w:rFonts w:cs="Arial"/>
                <w:color w:val="auto"/>
              </w:rPr>
              <w:t>105,349 </w:t>
            </w:r>
          </w:p>
        </w:tc>
        <w:tc>
          <w:tcPr>
            <w:tcW w:w="1417" w:type="dxa"/>
            <w:tcBorders>
              <w:top w:val="nil"/>
              <w:left w:val="nil"/>
              <w:bottom w:val="single" w:sz="6" w:space="0" w:color="auto"/>
              <w:right w:val="single" w:sz="6" w:space="0" w:color="auto"/>
            </w:tcBorders>
            <w:shd w:val="clear" w:color="auto" w:fill="auto"/>
            <w:vAlign w:val="bottom"/>
            <w:hideMark/>
          </w:tcPr>
          <w:p w14:paraId="7EFB259F" w14:textId="77777777" w:rsidR="008E1921" w:rsidRPr="00442773" w:rsidRDefault="008E1921" w:rsidP="008E1921">
            <w:pPr>
              <w:spacing w:after="0"/>
              <w:jc w:val="right"/>
              <w:textAlignment w:val="baseline"/>
              <w:rPr>
                <w:rFonts w:cs="Arial"/>
                <w:color w:val="auto"/>
              </w:rPr>
            </w:pPr>
            <w:r w:rsidRPr="00442773">
              <w:rPr>
                <w:rFonts w:cs="Arial"/>
                <w:color w:val="auto"/>
              </w:rPr>
              <w:t>80,710 </w:t>
            </w:r>
          </w:p>
        </w:tc>
        <w:tc>
          <w:tcPr>
            <w:tcW w:w="1418" w:type="dxa"/>
            <w:tcBorders>
              <w:top w:val="nil"/>
              <w:left w:val="nil"/>
              <w:bottom w:val="single" w:sz="6" w:space="0" w:color="auto"/>
              <w:right w:val="single" w:sz="6" w:space="0" w:color="auto"/>
            </w:tcBorders>
            <w:shd w:val="clear" w:color="auto" w:fill="auto"/>
            <w:vAlign w:val="bottom"/>
            <w:hideMark/>
          </w:tcPr>
          <w:p w14:paraId="03DF469E" w14:textId="77777777" w:rsidR="008E1921" w:rsidRPr="00442773" w:rsidRDefault="008E1921" w:rsidP="008E1921">
            <w:pPr>
              <w:spacing w:after="0"/>
              <w:jc w:val="right"/>
              <w:textAlignment w:val="baseline"/>
              <w:rPr>
                <w:rFonts w:cs="Arial"/>
                <w:color w:val="auto"/>
              </w:rPr>
            </w:pPr>
            <w:r w:rsidRPr="00442773">
              <w:rPr>
                <w:rFonts w:cs="Arial"/>
                <w:color w:val="auto"/>
              </w:rPr>
              <w:t>43.54% </w:t>
            </w:r>
          </w:p>
        </w:tc>
        <w:tc>
          <w:tcPr>
            <w:tcW w:w="1417" w:type="dxa"/>
            <w:tcBorders>
              <w:top w:val="nil"/>
              <w:left w:val="nil"/>
              <w:bottom w:val="single" w:sz="6" w:space="0" w:color="auto"/>
              <w:right w:val="single" w:sz="6" w:space="0" w:color="auto"/>
            </w:tcBorders>
            <w:shd w:val="clear" w:color="auto" w:fill="auto"/>
            <w:vAlign w:val="bottom"/>
            <w:hideMark/>
          </w:tcPr>
          <w:p w14:paraId="27A4C6A2" w14:textId="77777777" w:rsidR="008E1921" w:rsidRPr="00442773" w:rsidRDefault="008E1921" w:rsidP="008E1921">
            <w:pPr>
              <w:spacing w:after="0"/>
              <w:jc w:val="right"/>
              <w:textAlignment w:val="baseline"/>
              <w:rPr>
                <w:rFonts w:cs="Arial"/>
                <w:color w:val="auto"/>
              </w:rPr>
            </w:pPr>
            <w:r w:rsidRPr="00442773">
              <w:rPr>
                <w:rFonts w:cs="Arial"/>
                <w:color w:val="auto"/>
              </w:rPr>
              <w:t>76.61% </w:t>
            </w:r>
          </w:p>
        </w:tc>
      </w:tr>
      <w:tr w:rsidR="008E1921" w:rsidRPr="00442773" w14:paraId="51868C17" w14:textId="77777777" w:rsidTr="00095D55">
        <w:trPr>
          <w:trHeight w:val="300"/>
        </w:trPr>
        <w:tc>
          <w:tcPr>
            <w:tcW w:w="2260" w:type="dxa"/>
            <w:tcBorders>
              <w:top w:val="nil"/>
              <w:left w:val="single" w:sz="6" w:space="0" w:color="auto"/>
              <w:bottom w:val="single" w:sz="6" w:space="0" w:color="auto"/>
              <w:right w:val="single" w:sz="6" w:space="0" w:color="auto"/>
            </w:tcBorders>
            <w:shd w:val="clear" w:color="auto" w:fill="auto"/>
            <w:vAlign w:val="bottom"/>
            <w:hideMark/>
          </w:tcPr>
          <w:p w14:paraId="79D4DAC6" w14:textId="0CECD694" w:rsidR="008E1921" w:rsidRPr="00442773" w:rsidRDefault="00095D55" w:rsidP="008E1921">
            <w:pPr>
              <w:spacing w:after="0"/>
              <w:textAlignment w:val="baseline"/>
              <w:rPr>
                <w:rFonts w:cs="Arial"/>
                <w:color w:val="auto"/>
              </w:rPr>
            </w:pPr>
            <w:r w:rsidRPr="00442773">
              <w:rPr>
                <w:rFonts w:cs="Arial"/>
                <w:color w:val="auto"/>
              </w:rPr>
              <w:t>20</w:t>
            </w:r>
            <w:r w:rsidR="008E1921" w:rsidRPr="00442773">
              <w:rPr>
                <w:rFonts w:cs="Arial"/>
                <w:color w:val="auto"/>
              </w:rPr>
              <w:t>22/23 </w:t>
            </w:r>
          </w:p>
        </w:tc>
        <w:tc>
          <w:tcPr>
            <w:tcW w:w="1418" w:type="dxa"/>
            <w:tcBorders>
              <w:top w:val="nil"/>
              <w:left w:val="nil"/>
              <w:bottom w:val="single" w:sz="6" w:space="0" w:color="auto"/>
              <w:right w:val="single" w:sz="6" w:space="0" w:color="auto"/>
            </w:tcBorders>
            <w:shd w:val="clear" w:color="auto" w:fill="auto"/>
            <w:vAlign w:val="bottom"/>
            <w:hideMark/>
          </w:tcPr>
          <w:p w14:paraId="75D9CFBE" w14:textId="77777777" w:rsidR="008E1921" w:rsidRPr="00442773" w:rsidRDefault="008E1921" w:rsidP="008E1921">
            <w:pPr>
              <w:spacing w:after="0"/>
              <w:jc w:val="right"/>
              <w:textAlignment w:val="baseline"/>
              <w:rPr>
                <w:rFonts w:cs="Arial"/>
                <w:color w:val="auto"/>
              </w:rPr>
            </w:pPr>
            <w:r w:rsidRPr="00442773">
              <w:rPr>
                <w:rFonts w:cs="Arial"/>
                <w:color w:val="auto"/>
              </w:rPr>
              <w:t>210,980 </w:t>
            </w:r>
          </w:p>
        </w:tc>
        <w:tc>
          <w:tcPr>
            <w:tcW w:w="1276" w:type="dxa"/>
            <w:tcBorders>
              <w:top w:val="nil"/>
              <w:left w:val="nil"/>
              <w:bottom w:val="single" w:sz="6" w:space="0" w:color="auto"/>
              <w:right w:val="single" w:sz="6" w:space="0" w:color="auto"/>
            </w:tcBorders>
            <w:shd w:val="clear" w:color="auto" w:fill="auto"/>
            <w:vAlign w:val="bottom"/>
            <w:hideMark/>
          </w:tcPr>
          <w:p w14:paraId="4003A8EE" w14:textId="77777777" w:rsidR="008E1921" w:rsidRPr="00442773" w:rsidRDefault="008E1921" w:rsidP="008E1921">
            <w:pPr>
              <w:spacing w:after="0"/>
              <w:jc w:val="right"/>
              <w:textAlignment w:val="baseline"/>
              <w:rPr>
                <w:rFonts w:cs="Arial"/>
                <w:color w:val="auto"/>
              </w:rPr>
            </w:pPr>
            <w:r w:rsidRPr="00442773">
              <w:rPr>
                <w:rFonts w:cs="Arial"/>
                <w:color w:val="auto"/>
              </w:rPr>
              <w:t>102,502 </w:t>
            </w:r>
          </w:p>
        </w:tc>
        <w:tc>
          <w:tcPr>
            <w:tcW w:w="1417" w:type="dxa"/>
            <w:tcBorders>
              <w:top w:val="nil"/>
              <w:left w:val="nil"/>
              <w:bottom w:val="single" w:sz="6" w:space="0" w:color="auto"/>
              <w:right w:val="single" w:sz="6" w:space="0" w:color="auto"/>
            </w:tcBorders>
            <w:shd w:val="clear" w:color="auto" w:fill="auto"/>
            <w:vAlign w:val="bottom"/>
            <w:hideMark/>
          </w:tcPr>
          <w:p w14:paraId="67748481" w14:textId="77777777" w:rsidR="008E1921" w:rsidRPr="00442773" w:rsidRDefault="008E1921" w:rsidP="008E1921">
            <w:pPr>
              <w:spacing w:after="0"/>
              <w:jc w:val="right"/>
              <w:textAlignment w:val="baseline"/>
              <w:rPr>
                <w:rFonts w:cs="Arial"/>
                <w:color w:val="auto"/>
              </w:rPr>
            </w:pPr>
            <w:r w:rsidRPr="00442773">
              <w:rPr>
                <w:rFonts w:cs="Arial"/>
                <w:color w:val="auto"/>
              </w:rPr>
              <w:t>75,815 </w:t>
            </w:r>
          </w:p>
        </w:tc>
        <w:tc>
          <w:tcPr>
            <w:tcW w:w="1418" w:type="dxa"/>
            <w:tcBorders>
              <w:top w:val="nil"/>
              <w:left w:val="nil"/>
              <w:bottom w:val="single" w:sz="6" w:space="0" w:color="auto"/>
              <w:right w:val="single" w:sz="6" w:space="0" w:color="auto"/>
            </w:tcBorders>
            <w:shd w:val="clear" w:color="auto" w:fill="auto"/>
            <w:vAlign w:val="bottom"/>
            <w:hideMark/>
          </w:tcPr>
          <w:p w14:paraId="7C0C4517" w14:textId="77777777" w:rsidR="008E1921" w:rsidRPr="00442773" w:rsidRDefault="008E1921" w:rsidP="008E1921">
            <w:pPr>
              <w:spacing w:after="0"/>
              <w:jc w:val="right"/>
              <w:textAlignment w:val="baseline"/>
              <w:rPr>
                <w:rFonts w:cs="Arial"/>
                <w:color w:val="auto"/>
              </w:rPr>
            </w:pPr>
            <w:r w:rsidRPr="00442773">
              <w:rPr>
                <w:rFonts w:cs="Arial"/>
                <w:color w:val="auto"/>
              </w:rPr>
              <w:t>35.93% </w:t>
            </w:r>
          </w:p>
        </w:tc>
        <w:tc>
          <w:tcPr>
            <w:tcW w:w="1417" w:type="dxa"/>
            <w:tcBorders>
              <w:top w:val="nil"/>
              <w:left w:val="nil"/>
              <w:bottom w:val="single" w:sz="6" w:space="0" w:color="auto"/>
              <w:right w:val="single" w:sz="6" w:space="0" w:color="auto"/>
            </w:tcBorders>
            <w:shd w:val="clear" w:color="auto" w:fill="auto"/>
            <w:vAlign w:val="bottom"/>
            <w:hideMark/>
          </w:tcPr>
          <w:p w14:paraId="7DC389B3" w14:textId="77777777" w:rsidR="008E1921" w:rsidRPr="00442773" w:rsidRDefault="008E1921" w:rsidP="008E1921">
            <w:pPr>
              <w:spacing w:after="0"/>
              <w:jc w:val="right"/>
              <w:textAlignment w:val="baseline"/>
              <w:rPr>
                <w:rFonts w:cs="Arial"/>
                <w:color w:val="auto"/>
              </w:rPr>
            </w:pPr>
            <w:r w:rsidRPr="00442773">
              <w:rPr>
                <w:rFonts w:cs="Arial"/>
                <w:color w:val="auto"/>
              </w:rPr>
              <w:t>73.96% </w:t>
            </w:r>
          </w:p>
        </w:tc>
      </w:tr>
    </w:tbl>
    <w:p w14:paraId="41FC05B4" w14:textId="77777777" w:rsidR="008E1921" w:rsidRDefault="008E1921" w:rsidP="003330F2">
      <w:pPr>
        <w:pStyle w:val="ListParagraph"/>
        <w:numPr>
          <w:ilvl w:val="0"/>
          <w:numId w:val="0"/>
        </w:numPr>
        <w:ind w:left="426"/>
        <w:jc w:val="both"/>
        <w:rPr>
          <w:rStyle w:val="ListParagraphChar"/>
        </w:rPr>
      </w:pPr>
    </w:p>
    <w:p w14:paraId="7B2525BA" w14:textId="6DB2AC16" w:rsidR="00680306" w:rsidRDefault="00D20128" w:rsidP="008B1476">
      <w:pPr>
        <w:pStyle w:val="ListParagraph"/>
        <w:numPr>
          <w:ilvl w:val="0"/>
          <w:numId w:val="0"/>
        </w:numPr>
        <w:ind w:left="720"/>
        <w:jc w:val="both"/>
        <w:rPr>
          <w:rStyle w:val="ListParagraphChar"/>
        </w:rPr>
      </w:pPr>
      <w:r w:rsidRPr="70BFB7CE">
        <w:rPr>
          <w:rStyle w:val="ListParagraphChar"/>
        </w:rPr>
        <w:t>H</w:t>
      </w:r>
      <w:r w:rsidR="00C14FB4" w:rsidRPr="70BFB7CE">
        <w:rPr>
          <w:rStyle w:val="ListParagraphChar"/>
        </w:rPr>
        <w:t xml:space="preserve">igh levels of inflation still </w:t>
      </w:r>
      <w:r w:rsidR="00095D55" w:rsidRPr="70BFB7CE">
        <w:rPr>
          <w:rStyle w:val="ListParagraphChar"/>
        </w:rPr>
        <w:t>persist</w:t>
      </w:r>
      <w:r w:rsidR="00C14FB4" w:rsidRPr="70BFB7CE">
        <w:rPr>
          <w:rStyle w:val="ListParagraphChar"/>
        </w:rPr>
        <w:t xml:space="preserve"> </w:t>
      </w:r>
      <w:r w:rsidR="49BD110F" w:rsidRPr="70BFB7CE">
        <w:rPr>
          <w:rStyle w:val="ListParagraphChar"/>
        </w:rPr>
        <w:t>so</w:t>
      </w:r>
      <w:r w:rsidR="00C14FB4" w:rsidRPr="70BFB7CE">
        <w:rPr>
          <w:rStyle w:val="ListParagraphChar"/>
        </w:rPr>
        <w:t xml:space="preserve"> the cost of the capital programme is increasing and capital schemes that were previously </w:t>
      </w:r>
      <w:r w:rsidR="00095D55" w:rsidRPr="70BFB7CE">
        <w:rPr>
          <w:rStyle w:val="ListParagraphChar"/>
        </w:rPr>
        <w:t>financially viable</w:t>
      </w:r>
      <w:r w:rsidRPr="70BFB7CE">
        <w:rPr>
          <w:rStyle w:val="ListParagraphChar"/>
        </w:rPr>
        <w:t>,</w:t>
      </w:r>
      <w:r w:rsidR="00C14FB4" w:rsidRPr="70BFB7CE">
        <w:rPr>
          <w:rStyle w:val="ListParagraphChar"/>
        </w:rPr>
        <w:t xml:space="preserve"> no longer are. </w:t>
      </w:r>
    </w:p>
    <w:p w14:paraId="59F308D9" w14:textId="781FC7A8" w:rsidR="00356A62" w:rsidRDefault="00C14FB4" w:rsidP="008B1476">
      <w:pPr>
        <w:pStyle w:val="ListParagraph"/>
        <w:numPr>
          <w:ilvl w:val="0"/>
          <w:numId w:val="0"/>
        </w:numPr>
        <w:ind w:left="720"/>
        <w:jc w:val="both"/>
        <w:rPr>
          <w:rStyle w:val="ListParagraphChar"/>
        </w:rPr>
      </w:pPr>
      <w:r w:rsidRPr="70BFB7CE">
        <w:rPr>
          <w:rStyle w:val="ListParagraphChar"/>
        </w:rPr>
        <w:t>The value of our property investments and multi</w:t>
      </w:r>
      <w:r w:rsidR="00442773">
        <w:rPr>
          <w:rStyle w:val="ListParagraphChar"/>
        </w:rPr>
        <w:t>-</w:t>
      </w:r>
      <w:r w:rsidRPr="70BFB7CE">
        <w:rPr>
          <w:rStyle w:val="ListParagraphChar"/>
        </w:rPr>
        <w:t xml:space="preserve">asset funds (cash, bonds and stocks and shares) have fallen considerably over the last </w:t>
      </w:r>
      <w:r w:rsidR="00D20128" w:rsidRPr="70BFB7CE">
        <w:rPr>
          <w:rStyle w:val="ListParagraphChar"/>
        </w:rPr>
        <w:t>year,</w:t>
      </w:r>
      <w:r w:rsidRPr="70BFB7CE">
        <w:rPr>
          <w:rStyle w:val="ListParagraphChar"/>
        </w:rPr>
        <w:t xml:space="preserve"> eroding the principle value</w:t>
      </w:r>
      <w:r w:rsidR="00D20128" w:rsidRPr="70BFB7CE">
        <w:rPr>
          <w:rStyle w:val="ListParagraphChar"/>
        </w:rPr>
        <w:t xml:space="preserve">. Although these funds have achieved </w:t>
      </w:r>
      <w:r w:rsidR="00680306" w:rsidRPr="70BFB7CE">
        <w:rPr>
          <w:rStyle w:val="ListParagraphChar"/>
        </w:rPr>
        <w:t xml:space="preserve">(and continue to achieve) </w:t>
      </w:r>
      <w:r w:rsidR="00D20128" w:rsidRPr="70BFB7CE">
        <w:rPr>
          <w:rStyle w:val="ListParagraphChar"/>
        </w:rPr>
        <w:lastRenderedPageBreak/>
        <w:t>significant financial return in excess of bank rates</w:t>
      </w:r>
      <w:r w:rsidR="44F93980" w:rsidRPr="70BFB7CE">
        <w:rPr>
          <w:rStyle w:val="ListParagraphChar"/>
        </w:rPr>
        <w:t>,</w:t>
      </w:r>
      <w:r w:rsidR="00D20128" w:rsidRPr="70BFB7CE">
        <w:rPr>
          <w:rStyle w:val="ListParagraphChar"/>
        </w:rPr>
        <w:t xml:space="preserve"> </w:t>
      </w:r>
      <w:r w:rsidR="00680306" w:rsidRPr="70BFB7CE">
        <w:rPr>
          <w:rStyle w:val="ListParagraphChar"/>
        </w:rPr>
        <w:t>the principle values have fallen considerably.</w:t>
      </w:r>
    </w:p>
    <w:p w14:paraId="2DA6CA53" w14:textId="1724A30C" w:rsidR="006B5F89" w:rsidRDefault="00356A62" w:rsidP="008B1476">
      <w:pPr>
        <w:pStyle w:val="ListParagraph"/>
        <w:numPr>
          <w:ilvl w:val="0"/>
          <w:numId w:val="0"/>
        </w:numPr>
        <w:ind w:left="720"/>
        <w:jc w:val="both"/>
        <w:rPr>
          <w:rStyle w:val="ListParagraphChar"/>
        </w:rPr>
      </w:pPr>
      <w:r w:rsidRPr="70BFB7CE">
        <w:rPr>
          <w:rStyle w:val="ListParagraphChar"/>
        </w:rPr>
        <w:t>We are entering the discussions for the balancing of the MTFP for the next 4</w:t>
      </w:r>
      <w:r w:rsidR="00442773">
        <w:rPr>
          <w:rStyle w:val="ListParagraphChar"/>
        </w:rPr>
        <w:t>-</w:t>
      </w:r>
      <w:r w:rsidRPr="70BFB7CE">
        <w:rPr>
          <w:rStyle w:val="ListParagraphChar"/>
        </w:rPr>
        <w:t xml:space="preserve">year period with continued reliance on our income stream from our wholly owned companies and financial returns from our investment assets and car parking which once were reliable </w:t>
      </w:r>
      <w:r w:rsidR="00442773">
        <w:rPr>
          <w:rStyle w:val="ListParagraphChar"/>
        </w:rPr>
        <w:t xml:space="preserve">and </w:t>
      </w:r>
      <w:r w:rsidRPr="70BFB7CE">
        <w:rPr>
          <w:rStyle w:val="ListParagraphChar"/>
        </w:rPr>
        <w:t>are now more problematic.</w:t>
      </w:r>
      <w:r w:rsidR="00680306" w:rsidRPr="70BFB7CE">
        <w:rPr>
          <w:rStyle w:val="ListParagraphChar"/>
        </w:rPr>
        <w:t xml:space="preserve"> </w:t>
      </w:r>
      <w:r w:rsidRPr="70BFB7CE">
        <w:rPr>
          <w:rStyle w:val="ListParagraphChar"/>
        </w:rPr>
        <w:t xml:space="preserve">Assumptions around pay and the leisure futures programme have yet to be clarified </w:t>
      </w:r>
      <w:r w:rsidR="003E786C" w:rsidRPr="70BFB7CE">
        <w:rPr>
          <w:rStyle w:val="ListParagraphChar"/>
        </w:rPr>
        <w:t>and some</w:t>
      </w:r>
      <w:r w:rsidRPr="70BFB7CE">
        <w:rPr>
          <w:rStyle w:val="ListParagraphChar"/>
        </w:rPr>
        <w:t xml:space="preserve"> difficul</w:t>
      </w:r>
      <w:r w:rsidR="00EC3254" w:rsidRPr="70BFB7CE">
        <w:rPr>
          <w:rStyle w:val="ListParagraphChar"/>
        </w:rPr>
        <w:t>t</w:t>
      </w:r>
      <w:r w:rsidRPr="70BFB7CE">
        <w:rPr>
          <w:rStyle w:val="ListParagraphChar"/>
        </w:rPr>
        <w:t xml:space="preserve"> decisions</w:t>
      </w:r>
      <w:r w:rsidR="0861F641" w:rsidRPr="70BFB7CE">
        <w:rPr>
          <w:rStyle w:val="ListParagraphChar"/>
        </w:rPr>
        <w:t xml:space="preserve"> involving service reductions</w:t>
      </w:r>
      <w:r w:rsidRPr="70BFB7CE">
        <w:rPr>
          <w:rStyle w:val="ListParagraphChar"/>
        </w:rPr>
        <w:t xml:space="preserve"> may need to be taken by </w:t>
      </w:r>
      <w:r w:rsidR="00442773">
        <w:rPr>
          <w:rStyle w:val="ListParagraphChar"/>
        </w:rPr>
        <w:t>M</w:t>
      </w:r>
      <w:r w:rsidRPr="70BFB7CE">
        <w:rPr>
          <w:rStyle w:val="ListParagraphChar"/>
        </w:rPr>
        <w:t>embers this year if we are to remain in a financially stable position.</w:t>
      </w:r>
      <w:r w:rsidR="00714064">
        <w:rPr>
          <w:rStyle w:val="ListParagraphChar"/>
        </w:rPr>
        <w:t xml:space="preserve"> Difficult decisions not taken this year could have a material impact on the ability of the </w:t>
      </w:r>
      <w:r w:rsidR="00442773">
        <w:rPr>
          <w:rStyle w:val="ListParagraphChar"/>
        </w:rPr>
        <w:t>C</w:t>
      </w:r>
      <w:r w:rsidR="00714064">
        <w:rPr>
          <w:rStyle w:val="ListParagraphChar"/>
        </w:rPr>
        <w:t>ouncil to balance future years.</w:t>
      </w:r>
    </w:p>
    <w:p w14:paraId="5BB43409" w14:textId="25C8E6A1" w:rsidR="006B5F89" w:rsidRPr="001C2F9C" w:rsidRDefault="00C13C26" w:rsidP="008B1476">
      <w:pPr>
        <w:pStyle w:val="ListParagraph"/>
        <w:numPr>
          <w:ilvl w:val="0"/>
          <w:numId w:val="0"/>
        </w:numPr>
        <w:ind w:left="720"/>
        <w:jc w:val="both"/>
        <w:rPr>
          <w:rStyle w:val="ListParagraphChar"/>
        </w:rPr>
      </w:pPr>
      <w:r w:rsidRPr="3CEA2146">
        <w:rPr>
          <w:rStyle w:val="ListParagraphChar"/>
        </w:rPr>
        <w:t xml:space="preserve">The </w:t>
      </w:r>
      <w:r w:rsidR="00214296" w:rsidRPr="3CEA2146">
        <w:rPr>
          <w:rStyle w:val="ListParagraphChar"/>
        </w:rPr>
        <w:t>Council</w:t>
      </w:r>
      <w:r w:rsidR="00715DAD" w:rsidRPr="3CEA2146">
        <w:rPr>
          <w:rStyle w:val="ListParagraphChar"/>
        </w:rPr>
        <w:t>’</w:t>
      </w:r>
      <w:r w:rsidR="00214296" w:rsidRPr="3CEA2146">
        <w:rPr>
          <w:rStyle w:val="ListParagraphChar"/>
        </w:rPr>
        <w:t xml:space="preserve">s internal audit is undertaken by an external audit team, BDO. In their Annual Report and Statement of Assurance presented to the Audit and </w:t>
      </w:r>
      <w:r w:rsidR="00214296" w:rsidRPr="003E786C">
        <w:rPr>
          <w:rStyle w:val="ListParagraphChar"/>
        </w:rPr>
        <w:t xml:space="preserve">Governance Committee in July 2023, the auditor provided a </w:t>
      </w:r>
      <w:r w:rsidR="006B5F89" w:rsidRPr="003E786C">
        <w:rPr>
          <w:rStyle w:val="ListParagraphChar"/>
        </w:rPr>
        <w:t>‘</w:t>
      </w:r>
      <w:r w:rsidR="00214296" w:rsidRPr="003E786C">
        <w:rPr>
          <w:rStyle w:val="ListParagraphChar"/>
        </w:rPr>
        <w:t xml:space="preserve">Moderate Assurance that there is a sound system of internal control, designed to meet the </w:t>
      </w:r>
      <w:r w:rsidR="00442773">
        <w:rPr>
          <w:rStyle w:val="ListParagraphChar"/>
        </w:rPr>
        <w:t>C</w:t>
      </w:r>
      <w:r w:rsidR="00214296" w:rsidRPr="003E786C">
        <w:rPr>
          <w:rStyle w:val="ListParagraphChar"/>
        </w:rPr>
        <w:t>ouncil</w:t>
      </w:r>
      <w:r w:rsidR="00095D55" w:rsidRPr="003E786C">
        <w:rPr>
          <w:rStyle w:val="ListParagraphChar"/>
        </w:rPr>
        <w:t>’</w:t>
      </w:r>
      <w:r w:rsidR="00214296" w:rsidRPr="003E786C">
        <w:rPr>
          <w:rStyle w:val="ListParagraphChar"/>
        </w:rPr>
        <w:t>s objectives and that the controls are applied consistentl</w:t>
      </w:r>
      <w:r w:rsidR="00214296" w:rsidRPr="3CEA2146">
        <w:rPr>
          <w:rStyle w:val="ListParagraphChar"/>
        </w:rPr>
        <w:t>y</w:t>
      </w:r>
      <w:r w:rsidR="006B5F89" w:rsidRPr="3CEA2146">
        <w:rPr>
          <w:rStyle w:val="ListParagraphChar"/>
        </w:rPr>
        <w:t>’</w:t>
      </w:r>
      <w:r w:rsidR="00214296" w:rsidRPr="3CEA2146">
        <w:rPr>
          <w:rStyle w:val="ListParagraphChar"/>
        </w:rPr>
        <w:t>. This was the same assurance as in previous year</w:t>
      </w:r>
      <w:r w:rsidR="00095D55" w:rsidRPr="3CEA2146">
        <w:rPr>
          <w:rStyle w:val="ListParagraphChar"/>
        </w:rPr>
        <w:t>s</w:t>
      </w:r>
      <w:r w:rsidR="00214296" w:rsidRPr="3CEA2146">
        <w:rPr>
          <w:rStyle w:val="ListParagraphChar"/>
        </w:rPr>
        <w:t>. In putting this</w:t>
      </w:r>
      <w:r w:rsidRPr="3CEA2146">
        <w:rPr>
          <w:rStyle w:val="ListParagraphChar"/>
        </w:rPr>
        <w:t xml:space="preserve"> </w:t>
      </w:r>
      <w:r w:rsidR="00214296" w:rsidRPr="3CEA2146">
        <w:rPr>
          <w:rStyle w:val="ListParagraphChar"/>
        </w:rPr>
        <w:t>in</w:t>
      </w:r>
      <w:r w:rsidR="00680306" w:rsidRPr="3CEA2146">
        <w:rPr>
          <w:rStyle w:val="ListParagraphChar"/>
        </w:rPr>
        <w:t>to</w:t>
      </w:r>
      <w:r w:rsidR="00214296" w:rsidRPr="3CEA2146">
        <w:rPr>
          <w:rStyle w:val="ListParagraphChar"/>
        </w:rPr>
        <w:t xml:space="preserve"> perspective the auditor</w:t>
      </w:r>
      <w:r w:rsidR="006B5F89" w:rsidRPr="3CEA2146">
        <w:rPr>
          <w:rStyle w:val="ListParagraphChar"/>
        </w:rPr>
        <w:t xml:space="preserve"> advised that very few authorities received substantial assurance</w:t>
      </w:r>
      <w:r w:rsidR="00680306" w:rsidRPr="3CEA2146">
        <w:rPr>
          <w:rStyle w:val="ListParagraphChar"/>
        </w:rPr>
        <w:t xml:space="preserve"> and</w:t>
      </w:r>
      <w:r w:rsidR="006B5F89" w:rsidRPr="3CEA2146">
        <w:rPr>
          <w:rStyle w:val="ListParagraphChar"/>
        </w:rPr>
        <w:t xml:space="preserve"> it was noted that a number of audits undertaken for the </w:t>
      </w:r>
      <w:r w:rsidR="00442773">
        <w:rPr>
          <w:rStyle w:val="ListParagraphChar"/>
        </w:rPr>
        <w:t>C</w:t>
      </w:r>
      <w:r w:rsidR="006B5F89" w:rsidRPr="3CEA2146">
        <w:rPr>
          <w:rStyle w:val="ListParagraphChar"/>
        </w:rPr>
        <w:t>ouncil had received substantial</w:t>
      </w:r>
      <w:r w:rsidR="34574A68" w:rsidRPr="3CEA2146">
        <w:rPr>
          <w:rStyle w:val="ListParagraphChar"/>
        </w:rPr>
        <w:t xml:space="preserve"> assurance</w:t>
      </w:r>
      <w:r w:rsidR="006B5F89" w:rsidRPr="3CEA2146">
        <w:rPr>
          <w:rStyle w:val="ListParagraphChar"/>
        </w:rPr>
        <w:t xml:space="preserve"> for design and/or effectiveness of controls</w:t>
      </w:r>
      <w:r w:rsidR="00680306" w:rsidRPr="3CEA2146">
        <w:rPr>
          <w:rStyle w:val="ListParagraphChar"/>
        </w:rPr>
        <w:t xml:space="preserve"> on a number of audits</w:t>
      </w:r>
      <w:r w:rsidR="006B5F89" w:rsidRPr="3CEA2146">
        <w:rPr>
          <w:rStyle w:val="ListParagraphChar"/>
        </w:rPr>
        <w:t>. In 2022-23 there were 34 recommendations issued, 5 high, 16 medium and 13 low, in comparison to 2021-22 where there were 40 recommendations 5 high, 26 medium and 9 low.</w:t>
      </w:r>
      <w:r w:rsidR="54B521FA" w:rsidRPr="3CEA2146">
        <w:rPr>
          <w:rStyle w:val="ListParagraphChar"/>
        </w:rPr>
        <w:t xml:space="preserve"> In 2023-24 officers </w:t>
      </w:r>
      <w:r w:rsidR="39B40098" w:rsidRPr="3CEA2146">
        <w:rPr>
          <w:rStyle w:val="ListParagraphChar"/>
        </w:rPr>
        <w:t xml:space="preserve">implemented </w:t>
      </w:r>
      <w:r w:rsidR="54B521FA" w:rsidRPr="3CEA2146">
        <w:rPr>
          <w:rStyle w:val="ListParagraphChar"/>
        </w:rPr>
        <w:t>all outs</w:t>
      </w:r>
      <w:r w:rsidR="3A63763B" w:rsidRPr="3CEA2146">
        <w:rPr>
          <w:rStyle w:val="ListParagraphChar"/>
        </w:rPr>
        <w:t>tanding recommendation</w:t>
      </w:r>
      <w:r w:rsidR="342593ED" w:rsidRPr="3CEA2146">
        <w:rPr>
          <w:rStyle w:val="ListParagraphChar"/>
        </w:rPr>
        <w:t>s</w:t>
      </w:r>
      <w:r w:rsidR="3A63763B" w:rsidRPr="3CEA2146">
        <w:rPr>
          <w:rStyle w:val="ListParagraphChar"/>
        </w:rPr>
        <w:t xml:space="preserve"> made in previous years</w:t>
      </w:r>
      <w:r w:rsidR="0483E116" w:rsidRPr="3CEA2146">
        <w:rPr>
          <w:rStyle w:val="ListParagraphChar"/>
        </w:rPr>
        <w:t>.</w:t>
      </w:r>
      <w:r w:rsidR="3A63763B" w:rsidRPr="3CEA2146">
        <w:rPr>
          <w:rStyle w:val="ListParagraphChar"/>
        </w:rPr>
        <w:t xml:space="preserve"> </w:t>
      </w:r>
      <w:r w:rsidR="54B521FA" w:rsidRPr="3CEA2146">
        <w:rPr>
          <w:rStyle w:val="ListParagraphChar"/>
        </w:rPr>
        <w:t xml:space="preserve"> </w:t>
      </w:r>
    </w:p>
    <w:p w14:paraId="62ABA1FE" w14:textId="1713DA7D" w:rsidR="006A0186" w:rsidRPr="001C2F9C" w:rsidRDefault="006B5F89" w:rsidP="008B1476">
      <w:pPr>
        <w:pStyle w:val="ListParagraph"/>
        <w:numPr>
          <w:ilvl w:val="0"/>
          <w:numId w:val="0"/>
        </w:numPr>
        <w:ind w:left="720"/>
        <w:jc w:val="both"/>
        <w:rPr>
          <w:rStyle w:val="ListParagraphChar"/>
        </w:rPr>
      </w:pPr>
      <w:r w:rsidRPr="70BFB7CE">
        <w:rPr>
          <w:rStyle w:val="ListParagraphChar"/>
        </w:rPr>
        <w:t>In terms of external audit opinion at the time of preparing this report the auditor had still not completed the 2021-22 audit of accounts (see below)</w:t>
      </w:r>
      <w:r w:rsidR="4706DB72" w:rsidRPr="70BFB7CE">
        <w:rPr>
          <w:rStyle w:val="ListParagraphChar"/>
        </w:rPr>
        <w:t>.</w:t>
      </w:r>
    </w:p>
    <w:p w14:paraId="43620284" w14:textId="4D12D4CA" w:rsidR="006A0186" w:rsidRPr="004F24D8" w:rsidRDefault="00714064" w:rsidP="008B1476">
      <w:pPr>
        <w:pStyle w:val="ListParagraph"/>
        <w:numPr>
          <w:ilvl w:val="0"/>
          <w:numId w:val="15"/>
        </w:numPr>
        <w:jc w:val="both"/>
        <w:rPr>
          <w:rStyle w:val="ListParagraphChar"/>
          <w:b/>
          <w:u w:val="single"/>
        </w:rPr>
      </w:pPr>
      <w:r>
        <w:rPr>
          <w:rStyle w:val="ListParagraphChar"/>
          <w:b/>
          <w:u w:val="single"/>
        </w:rPr>
        <w:t xml:space="preserve">Strong </w:t>
      </w:r>
      <w:r w:rsidR="00390D59" w:rsidRPr="004F24D8">
        <w:rPr>
          <w:rStyle w:val="ListParagraphChar"/>
          <w:b/>
          <w:u w:val="single"/>
        </w:rPr>
        <w:t xml:space="preserve">Financial </w:t>
      </w:r>
      <w:r>
        <w:rPr>
          <w:rStyle w:val="ListParagraphChar"/>
          <w:b/>
          <w:u w:val="single"/>
        </w:rPr>
        <w:t xml:space="preserve">Management and Good </w:t>
      </w:r>
      <w:r w:rsidR="00390D59" w:rsidRPr="004F24D8">
        <w:rPr>
          <w:rStyle w:val="ListParagraphChar"/>
          <w:b/>
          <w:u w:val="single"/>
        </w:rPr>
        <w:t>Governance (including in relation to Council-owned companies)</w:t>
      </w:r>
    </w:p>
    <w:p w14:paraId="6C669052" w14:textId="74AEA54F" w:rsidR="000802A1" w:rsidRDefault="00533205" w:rsidP="008B1476">
      <w:pPr>
        <w:pStyle w:val="ListParagraph"/>
        <w:numPr>
          <w:ilvl w:val="0"/>
          <w:numId w:val="0"/>
        </w:numPr>
        <w:ind w:left="720"/>
        <w:jc w:val="both"/>
        <w:rPr>
          <w:rStyle w:val="ListParagraphChar"/>
        </w:rPr>
      </w:pPr>
      <w:r w:rsidRPr="70BFB7CE">
        <w:rPr>
          <w:rStyle w:val="ListParagraphChar"/>
        </w:rPr>
        <w:t xml:space="preserve">Financial </w:t>
      </w:r>
      <w:r w:rsidR="00714064">
        <w:rPr>
          <w:rStyle w:val="ListParagraphChar"/>
        </w:rPr>
        <w:t>Management</w:t>
      </w:r>
      <w:r w:rsidR="00A1797A" w:rsidRPr="70BFB7CE">
        <w:rPr>
          <w:rStyle w:val="ListParagraphChar"/>
        </w:rPr>
        <w:t xml:space="preserve"> in terms of how the organisation collects income, pays its suppliers, monitors and controls financial information is driven by the Financial Services Team headed by the Councils Section 151 Officer. In addition to fortnightly meetings with the other statutory officers, </w:t>
      </w:r>
      <w:r w:rsidR="007C033A" w:rsidRPr="70BFB7CE">
        <w:rPr>
          <w:rStyle w:val="ListParagraphChar"/>
        </w:rPr>
        <w:t>(</w:t>
      </w:r>
      <w:r w:rsidR="00A1797A" w:rsidRPr="70BFB7CE">
        <w:rPr>
          <w:rStyle w:val="ListParagraphChar"/>
        </w:rPr>
        <w:t xml:space="preserve">the Chief Executive and </w:t>
      </w:r>
      <w:r w:rsidR="007C033A" w:rsidRPr="70BFB7CE">
        <w:rPr>
          <w:rStyle w:val="ListParagraphChar"/>
        </w:rPr>
        <w:t>Monitoring Officer), the Section 151 Officer is also a member of the Council</w:t>
      </w:r>
      <w:r w:rsidR="00442773">
        <w:rPr>
          <w:rStyle w:val="ListParagraphChar"/>
        </w:rPr>
        <w:t>’</w:t>
      </w:r>
      <w:r w:rsidR="007C033A" w:rsidRPr="70BFB7CE">
        <w:rPr>
          <w:rStyle w:val="ListParagraphChar"/>
        </w:rPr>
        <w:t xml:space="preserve">s Corporate Management Team (CMT). </w:t>
      </w:r>
    </w:p>
    <w:p w14:paraId="2FEA9D9B" w14:textId="436AAE3D" w:rsidR="007C033A" w:rsidRDefault="007C033A" w:rsidP="008B1476">
      <w:pPr>
        <w:pStyle w:val="ListParagraph"/>
        <w:numPr>
          <w:ilvl w:val="0"/>
          <w:numId w:val="0"/>
        </w:numPr>
        <w:ind w:left="720"/>
        <w:jc w:val="both"/>
        <w:rPr>
          <w:rStyle w:val="ListParagraphChar"/>
        </w:rPr>
      </w:pPr>
      <w:r w:rsidRPr="70BFB7CE">
        <w:rPr>
          <w:rStyle w:val="ListParagraphChar"/>
        </w:rPr>
        <w:t>The Council</w:t>
      </w:r>
      <w:r w:rsidR="00442773">
        <w:rPr>
          <w:rStyle w:val="ListParagraphChar"/>
        </w:rPr>
        <w:t>’</w:t>
      </w:r>
      <w:r w:rsidRPr="70BFB7CE">
        <w:rPr>
          <w:rStyle w:val="ListParagraphChar"/>
        </w:rPr>
        <w:t>s wholly owned companies OX</w:t>
      </w:r>
      <w:r w:rsidR="00442773">
        <w:rPr>
          <w:rStyle w:val="ListParagraphChar"/>
        </w:rPr>
        <w:t xml:space="preserve"> </w:t>
      </w:r>
      <w:r w:rsidRPr="70BFB7CE">
        <w:rPr>
          <w:rStyle w:val="ListParagraphChar"/>
        </w:rPr>
        <w:t xml:space="preserve">Place and Oxford Direct Services as part of the Council Group are an integral part of the </w:t>
      </w:r>
      <w:r w:rsidR="00442773">
        <w:rPr>
          <w:rStyle w:val="ListParagraphChar"/>
        </w:rPr>
        <w:t>C</w:t>
      </w:r>
      <w:r w:rsidRPr="70BFB7CE">
        <w:rPr>
          <w:rStyle w:val="ListParagraphChar"/>
        </w:rPr>
        <w:t>ouncil</w:t>
      </w:r>
      <w:r w:rsidR="16D5EBA6" w:rsidRPr="70BFB7CE">
        <w:rPr>
          <w:rStyle w:val="ListParagraphChar"/>
        </w:rPr>
        <w:t>’</w:t>
      </w:r>
      <w:r w:rsidRPr="70BFB7CE">
        <w:rPr>
          <w:rStyle w:val="ListParagraphChar"/>
        </w:rPr>
        <w:t xml:space="preserve">s business, supplying dividends back to the Council to support the financing of its services. Financial </w:t>
      </w:r>
      <w:r w:rsidR="00714064">
        <w:rPr>
          <w:rStyle w:val="ListParagraphChar"/>
        </w:rPr>
        <w:t xml:space="preserve">and governance </w:t>
      </w:r>
      <w:r w:rsidRPr="70BFB7CE">
        <w:rPr>
          <w:rStyle w:val="ListParagraphChar"/>
        </w:rPr>
        <w:t>oversight by the Council</w:t>
      </w:r>
      <w:r w:rsidR="000802A1">
        <w:rPr>
          <w:rStyle w:val="ListParagraphChar"/>
        </w:rPr>
        <w:t>,</w:t>
      </w:r>
      <w:r w:rsidRPr="70BFB7CE">
        <w:rPr>
          <w:rStyle w:val="ListParagraphChar"/>
        </w:rPr>
        <w:t xml:space="preserve"> </w:t>
      </w:r>
      <w:r w:rsidR="00714064">
        <w:rPr>
          <w:rStyle w:val="ListParagraphChar"/>
        </w:rPr>
        <w:t>t</w:t>
      </w:r>
      <w:r w:rsidRPr="70BFB7CE">
        <w:rPr>
          <w:rStyle w:val="ListParagraphChar"/>
        </w:rPr>
        <w:t xml:space="preserve">he Section 151 Officer </w:t>
      </w:r>
      <w:r w:rsidR="00714064">
        <w:rPr>
          <w:rStyle w:val="ListParagraphChar"/>
        </w:rPr>
        <w:t xml:space="preserve">and the Monitoring Officer </w:t>
      </w:r>
      <w:r w:rsidRPr="70BFB7CE">
        <w:rPr>
          <w:rStyle w:val="ListParagraphChar"/>
        </w:rPr>
        <w:t xml:space="preserve">is exercised through </w:t>
      </w:r>
      <w:r w:rsidR="003E786C" w:rsidRPr="70BFB7CE">
        <w:rPr>
          <w:rStyle w:val="ListParagraphChar"/>
        </w:rPr>
        <w:t>company’s</w:t>
      </w:r>
      <w:r w:rsidR="3807AB2F" w:rsidRPr="70BFB7CE">
        <w:rPr>
          <w:rStyle w:val="ListParagraphChar"/>
        </w:rPr>
        <w:t xml:space="preserve"> attendance at CMT and </w:t>
      </w:r>
      <w:r w:rsidRPr="70BFB7CE">
        <w:rPr>
          <w:rStyle w:val="ListParagraphChar"/>
        </w:rPr>
        <w:t xml:space="preserve">the </w:t>
      </w:r>
      <w:r w:rsidR="00442773">
        <w:rPr>
          <w:rStyle w:val="ListParagraphChar"/>
        </w:rPr>
        <w:t>S</w:t>
      </w:r>
      <w:r w:rsidRPr="70BFB7CE">
        <w:rPr>
          <w:rStyle w:val="ListParagraphChar"/>
        </w:rPr>
        <w:t>hareholder meetings with the Company.</w:t>
      </w:r>
      <w:r w:rsidR="000802A1">
        <w:rPr>
          <w:rStyle w:val="ListParagraphChar"/>
        </w:rPr>
        <w:t xml:space="preserve"> The two can be interlinked and failure in both</w:t>
      </w:r>
      <w:r w:rsidR="00442773">
        <w:rPr>
          <w:rStyle w:val="ListParagraphChar"/>
        </w:rPr>
        <w:t>,</w:t>
      </w:r>
      <w:r w:rsidR="000802A1">
        <w:rPr>
          <w:rStyle w:val="ListParagraphChar"/>
        </w:rPr>
        <w:t xml:space="preserve"> in the case of Nottingham and other </w:t>
      </w:r>
      <w:r w:rsidR="00442773">
        <w:rPr>
          <w:rStyle w:val="ListParagraphChar"/>
        </w:rPr>
        <w:t>c</w:t>
      </w:r>
      <w:r w:rsidR="000802A1">
        <w:rPr>
          <w:rStyle w:val="ListParagraphChar"/>
        </w:rPr>
        <w:t>ouncils</w:t>
      </w:r>
      <w:r w:rsidR="00442773">
        <w:rPr>
          <w:rStyle w:val="ListParagraphChar"/>
        </w:rPr>
        <w:t>,</w:t>
      </w:r>
      <w:r w:rsidR="000802A1">
        <w:rPr>
          <w:rStyle w:val="ListParagraphChar"/>
        </w:rPr>
        <w:t xml:space="preserve"> </w:t>
      </w:r>
      <w:r w:rsidR="00442773">
        <w:rPr>
          <w:rStyle w:val="ListParagraphChar"/>
        </w:rPr>
        <w:t>materially</w:t>
      </w:r>
      <w:r w:rsidR="000802A1">
        <w:rPr>
          <w:rStyle w:val="ListParagraphChar"/>
        </w:rPr>
        <w:t xml:space="preserve"> contributed to the issuing of a Section 114 notice.</w:t>
      </w:r>
    </w:p>
    <w:p w14:paraId="7377A121" w14:textId="53A71F1C" w:rsidR="006F1019" w:rsidRDefault="007A6826" w:rsidP="008B1476">
      <w:pPr>
        <w:pStyle w:val="ListParagraph"/>
        <w:numPr>
          <w:ilvl w:val="0"/>
          <w:numId w:val="0"/>
        </w:numPr>
        <w:ind w:left="720"/>
        <w:jc w:val="both"/>
        <w:rPr>
          <w:rStyle w:val="ListParagraphChar"/>
        </w:rPr>
      </w:pPr>
      <w:r w:rsidRPr="0069158F">
        <w:rPr>
          <w:rStyle w:val="ListParagraphChar"/>
        </w:rPr>
        <w:t>W</w:t>
      </w:r>
      <w:r w:rsidR="00D66940" w:rsidRPr="0069158F">
        <w:rPr>
          <w:rStyle w:val="ListParagraphChar"/>
        </w:rPr>
        <w:t xml:space="preserve">hilst wholly owned companies are becoming more prevalent in local authorities they are still relatively new ground for local authorities. </w:t>
      </w:r>
      <w:r w:rsidR="006F1019">
        <w:rPr>
          <w:rStyle w:val="ListParagraphChar"/>
        </w:rPr>
        <w:t xml:space="preserve">Our wholly owned companies are forecast to deliver approximately £30million in dividends over the next MTFS and are essential to the Council if it is to continue to maintain services. </w:t>
      </w:r>
      <w:r w:rsidR="000802A1">
        <w:rPr>
          <w:rStyle w:val="ListParagraphChar"/>
        </w:rPr>
        <w:t>Regular review of the Companies</w:t>
      </w:r>
      <w:r w:rsidR="00442773">
        <w:rPr>
          <w:rStyle w:val="ListParagraphChar"/>
        </w:rPr>
        <w:t>’</w:t>
      </w:r>
      <w:r w:rsidR="000802A1">
        <w:rPr>
          <w:rStyle w:val="ListParagraphChar"/>
        </w:rPr>
        <w:t xml:space="preserve"> </w:t>
      </w:r>
      <w:r w:rsidR="0043757A">
        <w:rPr>
          <w:rStyle w:val="ListParagraphChar"/>
        </w:rPr>
        <w:t>governance is a key area of focus for the Audit and Governance Committee and the Council</w:t>
      </w:r>
      <w:r w:rsidR="00442773">
        <w:rPr>
          <w:rStyle w:val="ListParagraphChar"/>
        </w:rPr>
        <w:t>’</w:t>
      </w:r>
      <w:r w:rsidR="0043757A">
        <w:rPr>
          <w:rStyle w:val="ListParagraphChar"/>
        </w:rPr>
        <w:t xml:space="preserve">s Monitoring Officer and a review is </w:t>
      </w:r>
      <w:r w:rsidR="0043757A">
        <w:rPr>
          <w:rStyle w:val="ListParagraphChar"/>
        </w:rPr>
        <w:lastRenderedPageBreak/>
        <w:t>commencing in relation to the Council</w:t>
      </w:r>
      <w:r w:rsidR="00442773">
        <w:rPr>
          <w:rStyle w:val="ListParagraphChar"/>
        </w:rPr>
        <w:t>’</w:t>
      </w:r>
      <w:r w:rsidR="0043757A">
        <w:rPr>
          <w:rStyle w:val="ListParagraphChar"/>
        </w:rPr>
        <w:t>s governance of its wholly owned companies.</w:t>
      </w:r>
    </w:p>
    <w:p w14:paraId="2838AC50" w14:textId="28A74BA9" w:rsidR="0043757A" w:rsidRDefault="00D66940" w:rsidP="0043757A">
      <w:pPr>
        <w:pStyle w:val="ListParagraph"/>
        <w:numPr>
          <w:ilvl w:val="0"/>
          <w:numId w:val="0"/>
        </w:numPr>
        <w:ind w:left="720"/>
        <w:jc w:val="both"/>
      </w:pPr>
      <w:r w:rsidRPr="3CEA2146">
        <w:rPr>
          <w:rStyle w:val="ListParagraphChar"/>
        </w:rPr>
        <w:t>A number of audits have been undertaken over the years by the Council</w:t>
      </w:r>
      <w:r w:rsidR="00F761D4" w:rsidRPr="3CEA2146">
        <w:rPr>
          <w:rStyle w:val="ListParagraphChar"/>
        </w:rPr>
        <w:t>’</w:t>
      </w:r>
      <w:r w:rsidRPr="3CEA2146">
        <w:rPr>
          <w:rStyle w:val="ListParagraphChar"/>
        </w:rPr>
        <w:t xml:space="preserve">s internal </w:t>
      </w:r>
      <w:r w:rsidR="00F627CE" w:rsidRPr="3CEA2146">
        <w:rPr>
          <w:rStyle w:val="ListParagraphChar"/>
        </w:rPr>
        <w:t>auditors</w:t>
      </w:r>
      <w:r w:rsidR="00A840B6" w:rsidRPr="3CEA2146">
        <w:rPr>
          <w:rStyle w:val="ListParagraphChar"/>
        </w:rPr>
        <w:t>,</w:t>
      </w:r>
      <w:r w:rsidRPr="3CEA2146">
        <w:rPr>
          <w:rStyle w:val="ListParagraphChar"/>
        </w:rPr>
        <w:t xml:space="preserve"> BDO</w:t>
      </w:r>
      <w:r w:rsidR="00A840B6" w:rsidRPr="3CEA2146">
        <w:rPr>
          <w:rStyle w:val="ListParagraphChar"/>
        </w:rPr>
        <w:t>,</w:t>
      </w:r>
      <w:r w:rsidRPr="3CEA2146">
        <w:rPr>
          <w:rStyle w:val="ListParagraphChar"/>
        </w:rPr>
        <w:t xml:space="preserve"> who have generally given the </w:t>
      </w:r>
      <w:r w:rsidR="00442773">
        <w:rPr>
          <w:rStyle w:val="ListParagraphChar"/>
        </w:rPr>
        <w:t>C</w:t>
      </w:r>
      <w:r w:rsidRPr="3CEA2146">
        <w:rPr>
          <w:rStyle w:val="ListParagraphChar"/>
        </w:rPr>
        <w:t xml:space="preserve">ouncil moderate assurance over the </w:t>
      </w:r>
      <w:r w:rsidR="00F627CE" w:rsidRPr="3CEA2146">
        <w:rPr>
          <w:rStyle w:val="ListParagraphChar"/>
        </w:rPr>
        <w:t>governance</w:t>
      </w:r>
      <w:r w:rsidRPr="3CEA2146">
        <w:rPr>
          <w:rStyle w:val="ListParagraphChar"/>
        </w:rPr>
        <w:t xml:space="preserve"> arrangements</w:t>
      </w:r>
      <w:r w:rsidR="00680306" w:rsidRPr="3CEA2146">
        <w:rPr>
          <w:rStyle w:val="ListParagraphChar"/>
        </w:rPr>
        <w:t xml:space="preserve"> over our wholly owned companies</w:t>
      </w:r>
      <w:r w:rsidRPr="3CEA2146">
        <w:rPr>
          <w:rStyle w:val="ListParagraphChar"/>
        </w:rPr>
        <w:t xml:space="preserve">. The </w:t>
      </w:r>
      <w:r w:rsidR="00442773">
        <w:rPr>
          <w:rStyle w:val="ListParagraphChar"/>
        </w:rPr>
        <w:t>S</w:t>
      </w:r>
      <w:r w:rsidRPr="3CEA2146">
        <w:rPr>
          <w:rStyle w:val="ListParagraphChar"/>
        </w:rPr>
        <w:t xml:space="preserve">hareholder group meets regularly with the companies and </w:t>
      </w:r>
      <w:r w:rsidR="0069158F" w:rsidRPr="3CEA2146">
        <w:rPr>
          <w:rStyle w:val="ListParagraphChar"/>
        </w:rPr>
        <w:t>the</w:t>
      </w:r>
      <w:r w:rsidRPr="3CEA2146">
        <w:rPr>
          <w:rStyle w:val="ListParagraphChar"/>
        </w:rPr>
        <w:t xml:space="preserve"> </w:t>
      </w:r>
      <w:r w:rsidR="0069158F" w:rsidRPr="3CEA2146">
        <w:rPr>
          <w:rStyle w:val="ListParagraphChar"/>
        </w:rPr>
        <w:t>shareholders</w:t>
      </w:r>
      <w:r w:rsidRPr="3CEA2146">
        <w:rPr>
          <w:rStyle w:val="ListParagraphChar"/>
        </w:rPr>
        <w:t xml:space="preserve"> are advised by its </w:t>
      </w:r>
      <w:r w:rsidR="00CE11AE" w:rsidRPr="3CEA2146">
        <w:rPr>
          <w:rStyle w:val="ListParagraphChar"/>
        </w:rPr>
        <w:t>officers</w:t>
      </w:r>
      <w:r w:rsidR="00680306" w:rsidRPr="3CEA2146">
        <w:rPr>
          <w:rStyle w:val="ListParagraphChar"/>
        </w:rPr>
        <w:t>,</w:t>
      </w:r>
      <w:r w:rsidRPr="3CEA2146">
        <w:rPr>
          <w:rStyle w:val="ListParagraphChar"/>
        </w:rPr>
        <w:t xml:space="preserve"> </w:t>
      </w:r>
      <w:r w:rsidR="00680306" w:rsidRPr="3CEA2146">
        <w:rPr>
          <w:rStyle w:val="ListParagraphChar"/>
        </w:rPr>
        <w:t>and the Council’s</w:t>
      </w:r>
      <w:r w:rsidRPr="3CEA2146">
        <w:rPr>
          <w:rStyle w:val="ListParagraphChar"/>
        </w:rPr>
        <w:t xml:space="preserve"> Section 151 </w:t>
      </w:r>
      <w:r w:rsidR="00EB325B" w:rsidRPr="3CEA2146">
        <w:rPr>
          <w:rStyle w:val="ListParagraphChar"/>
        </w:rPr>
        <w:t>Officer provides</w:t>
      </w:r>
      <w:r w:rsidRPr="3CEA2146">
        <w:rPr>
          <w:rStyle w:val="ListParagraphChar"/>
        </w:rPr>
        <w:t xml:space="preserve"> independent commentary on </w:t>
      </w:r>
      <w:r w:rsidR="0069158F" w:rsidRPr="3CEA2146">
        <w:rPr>
          <w:rStyle w:val="ListParagraphChar"/>
        </w:rPr>
        <w:t>reports</w:t>
      </w:r>
      <w:r w:rsidRPr="3CEA2146">
        <w:rPr>
          <w:rStyle w:val="ListParagraphChar"/>
        </w:rPr>
        <w:t xml:space="preserve"> coming to </w:t>
      </w:r>
      <w:r w:rsidR="00442773">
        <w:rPr>
          <w:rStyle w:val="ListParagraphChar"/>
        </w:rPr>
        <w:t>S</w:t>
      </w:r>
      <w:r w:rsidRPr="3CEA2146">
        <w:rPr>
          <w:rStyle w:val="ListParagraphChar"/>
        </w:rPr>
        <w:t xml:space="preserve">hareholder group and other </w:t>
      </w:r>
      <w:r w:rsidR="00442773">
        <w:rPr>
          <w:rStyle w:val="ListParagraphChar"/>
        </w:rPr>
        <w:t>M</w:t>
      </w:r>
      <w:r w:rsidRPr="3CEA2146">
        <w:rPr>
          <w:rStyle w:val="ListParagraphChar"/>
        </w:rPr>
        <w:t xml:space="preserve">embers </w:t>
      </w:r>
      <w:r w:rsidR="0069158F" w:rsidRPr="3CEA2146">
        <w:rPr>
          <w:rStyle w:val="ListParagraphChar"/>
        </w:rPr>
        <w:t>scrutinise</w:t>
      </w:r>
      <w:r w:rsidRPr="3CEA2146">
        <w:rPr>
          <w:rStyle w:val="ListParagraphChar"/>
        </w:rPr>
        <w:t xml:space="preserve"> the work of the companies. Local </w:t>
      </w:r>
      <w:r w:rsidR="0069158F" w:rsidRPr="3CEA2146">
        <w:rPr>
          <w:rStyle w:val="ListParagraphChar"/>
        </w:rPr>
        <w:t>authority</w:t>
      </w:r>
      <w:r w:rsidRPr="3CEA2146">
        <w:rPr>
          <w:rStyle w:val="ListParagraphChar"/>
        </w:rPr>
        <w:t xml:space="preserve"> directors sit on </w:t>
      </w:r>
      <w:r w:rsidR="0069158F" w:rsidRPr="3CEA2146">
        <w:rPr>
          <w:rStyle w:val="ListParagraphChar"/>
        </w:rPr>
        <w:t>the</w:t>
      </w:r>
      <w:r w:rsidRPr="3CEA2146">
        <w:rPr>
          <w:rStyle w:val="ListParagraphChar"/>
        </w:rPr>
        <w:t xml:space="preserve"> company boards and although </w:t>
      </w:r>
      <w:r w:rsidR="00CE11AE" w:rsidRPr="3CEA2146">
        <w:rPr>
          <w:rStyle w:val="ListParagraphChar"/>
        </w:rPr>
        <w:t>they</w:t>
      </w:r>
      <w:r w:rsidRPr="3CEA2146">
        <w:rPr>
          <w:rStyle w:val="ListParagraphChar"/>
        </w:rPr>
        <w:t xml:space="preserve"> have a statutory requirement to act as director of the company when sitting on the board</w:t>
      </w:r>
      <w:r w:rsidR="00680306" w:rsidRPr="3CEA2146">
        <w:rPr>
          <w:rStyle w:val="ListParagraphChar"/>
        </w:rPr>
        <w:t xml:space="preserve">, they can </w:t>
      </w:r>
      <w:r w:rsidRPr="3CEA2146">
        <w:rPr>
          <w:rStyle w:val="ListParagraphChar"/>
        </w:rPr>
        <w:t xml:space="preserve">at least </w:t>
      </w:r>
      <w:r w:rsidR="00680306" w:rsidRPr="3CEA2146">
        <w:rPr>
          <w:rStyle w:val="ListParagraphChar"/>
        </w:rPr>
        <w:t xml:space="preserve">provide a Council viewpoint of the </w:t>
      </w:r>
      <w:r w:rsidRPr="3CEA2146">
        <w:rPr>
          <w:rStyle w:val="ListParagraphChar"/>
        </w:rPr>
        <w:t xml:space="preserve">implications </w:t>
      </w:r>
      <w:r w:rsidR="00680306" w:rsidRPr="3CEA2146">
        <w:rPr>
          <w:rStyle w:val="ListParagraphChar"/>
        </w:rPr>
        <w:t xml:space="preserve">for the </w:t>
      </w:r>
      <w:r w:rsidR="00442773">
        <w:rPr>
          <w:rStyle w:val="ListParagraphChar"/>
        </w:rPr>
        <w:t>C</w:t>
      </w:r>
      <w:r w:rsidR="00680306" w:rsidRPr="3CEA2146">
        <w:rPr>
          <w:rStyle w:val="ListParagraphChar"/>
        </w:rPr>
        <w:t>ouncil of company board decisions</w:t>
      </w:r>
      <w:r w:rsidRPr="3CEA2146">
        <w:rPr>
          <w:rStyle w:val="ListParagraphChar"/>
        </w:rPr>
        <w:t xml:space="preserve">. Whilst this is new ground and the authority can always improve, the </w:t>
      </w:r>
      <w:r w:rsidR="00CE11AE" w:rsidRPr="3CEA2146">
        <w:rPr>
          <w:rStyle w:val="ListParagraphChar"/>
        </w:rPr>
        <w:t>governance</w:t>
      </w:r>
      <w:r w:rsidRPr="3CEA2146">
        <w:rPr>
          <w:rStyle w:val="ListParagraphChar"/>
        </w:rPr>
        <w:t xml:space="preserve"> of such companies is for the time being </w:t>
      </w:r>
      <w:r w:rsidR="00CE11AE" w:rsidRPr="3CEA2146">
        <w:rPr>
          <w:rStyle w:val="ListParagraphChar"/>
        </w:rPr>
        <w:t>in a stable position.</w:t>
      </w:r>
      <w:r>
        <w:tab/>
      </w:r>
    </w:p>
    <w:p w14:paraId="72098B74" w14:textId="67D03876" w:rsidR="001E18CE" w:rsidRPr="0043757A" w:rsidRDefault="00751B82" w:rsidP="0043757A">
      <w:pPr>
        <w:pStyle w:val="ListParagraph"/>
        <w:numPr>
          <w:ilvl w:val="0"/>
          <w:numId w:val="15"/>
        </w:numPr>
        <w:jc w:val="both"/>
        <w:rPr>
          <w:rStyle w:val="ListParagraphChar"/>
          <w:b/>
          <w:u w:val="single"/>
        </w:rPr>
      </w:pPr>
      <w:r w:rsidRPr="0043757A">
        <w:rPr>
          <w:rStyle w:val="ListParagraphChar"/>
          <w:b/>
          <w:u w:val="single"/>
        </w:rPr>
        <w:t>Processes for charging to Capital/Revenue</w:t>
      </w:r>
    </w:p>
    <w:p w14:paraId="741D2B25" w14:textId="6EEC6B39" w:rsidR="00D00315" w:rsidRDefault="008B1476" w:rsidP="003330F2">
      <w:pPr>
        <w:pStyle w:val="ListParagraph"/>
        <w:numPr>
          <w:ilvl w:val="0"/>
          <w:numId w:val="0"/>
        </w:numPr>
        <w:ind w:left="426"/>
        <w:jc w:val="both"/>
        <w:rPr>
          <w:rStyle w:val="ListParagraphChar"/>
        </w:rPr>
      </w:pPr>
      <w:r>
        <w:rPr>
          <w:rStyle w:val="ListParagraphChar"/>
        </w:rPr>
        <w:tab/>
      </w:r>
      <w:r w:rsidR="00F12277" w:rsidRPr="00C13231">
        <w:rPr>
          <w:rStyle w:val="ListParagraphChar"/>
        </w:rPr>
        <w:t xml:space="preserve">Capital expenditure is defined in the CIPFA </w:t>
      </w:r>
      <w:r w:rsidR="00C13231" w:rsidRPr="00C13231">
        <w:rPr>
          <w:rStyle w:val="ListParagraphChar"/>
        </w:rPr>
        <w:t>Accounting</w:t>
      </w:r>
      <w:r w:rsidR="00F12277" w:rsidRPr="00C13231">
        <w:rPr>
          <w:rStyle w:val="ListParagraphChar"/>
        </w:rPr>
        <w:t xml:space="preserve"> Code of Practice as</w:t>
      </w:r>
      <w:r w:rsidR="003E786C">
        <w:rPr>
          <w:rStyle w:val="ListParagraphChar"/>
        </w:rPr>
        <w:t>:</w:t>
      </w:r>
      <w:r w:rsidR="00F12277" w:rsidRPr="00C13231">
        <w:rPr>
          <w:rStyle w:val="ListParagraphChar"/>
        </w:rPr>
        <w:t xml:space="preserve"> </w:t>
      </w:r>
    </w:p>
    <w:p w14:paraId="17D1AF39" w14:textId="7CD5A446" w:rsidR="00097E60" w:rsidRPr="00356A62" w:rsidRDefault="00D00315" w:rsidP="00D20128">
      <w:pPr>
        <w:pStyle w:val="ListParagraph"/>
        <w:numPr>
          <w:ilvl w:val="0"/>
          <w:numId w:val="0"/>
        </w:numPr>
        <w:ind w:left="720"/>
        <w:jc w:val="both"/>
        <w:rPr>
          <w:rStyle w:val="ListParagraphChar"/>
          <w:i/>
        </w:rPr>
      </w:pPr>
      <w:r w:rsidRPr="00356A62">
        <w:rPr>
          <w:rStyle w:val="ListParagraphChar"/>
          <w:i/>
        </w:rPr>
        <w:t xml:space="preserve">All expenditure </w:t>
      </w:r>
      <w:r w:rsidR="004C2A19" w:rsidRPr="00356A62">
        <w:rPr>
          <w:rStyle w:val="ListParagraphChar"/>
          <w:i/>
        </w:rPr>
        <w:t>relating to cost of acquisition</w:t>
      </w:r>
      <w:r w:rsidR="00C84936" w:rsidRPr="00356A62">
        <w:rPr>
          <w:rStyle w:val="ListParagraphChar"/>
          <w:i/>
        </w:rPr>
        <w:t xml:space="preserve">, creation </w:t>
      </w:r>
      <w:r w:rsidR="004C2A19" w:rsidRPr="00356A62">
        <w:rPr>
          <w:rStyle w:val="ListParagraphChar"/>
          <w:i/>
        </w:rPr>
        <w:t>or purchase</w:t>
      </w:r>
      <w:r w:rsidR="00097E60" w:rsidRPr="00356A62">
        <w:rPr>
          <w:rStyle w:val="ListParagraphChar"/>
          <w:i/>
        </w:rPr>
        <w:t>,</w:t>
      </w:r>
      <w:r w:rsidR="00064F3A" w:rsidRPr="00356A62">
        <w:rPr>
          <w:i/>
        </w:rPr>
        <w:t xml:space="preserve"> </w:t>
      </w:r>
      <w:r w:rsidR="00064F3A" w:rsidRPr="00356A62">
        <w:rPr>
          <w:rStyle w:val="ListParagraphChar"/>
          <w:i/>
        </w:rPr>
        <w:t>plus any expenses directly attributable to bringing the asset to the location</w:t>
      </w:r>
      <w:r w:rsidR="00064F3A" w:rsidRPr="00356A62">
        <w:rPr>
          <w:i/>
        </w:rPr>
        <w:t xml:space="preserve"> </w:t>
      </w:r>
      <w:r w:rsidR="00064F3A" w:rsidRPr="00356A62">
        <w:rPr>
          <w:rStyle w:val="ListParagraphChar"/>
          <w:i/>
        </w:rPr>
        <w:t>and condition necessary for them to be capable of operating in the manner</w:t>
      </w:r>
      <w:r w:rsidR="00064F3A" w:rsidRPr="00356A62">
        <w:rPr>
          <w:i/>
        </w:rPr>
        <w:t xml:space="preserve"> </w:t>
      </w:r>
      <w:r w:rsidR="00064F3A" w:rsidRPr="00356A62">
        <w:rPr>
          <w:rStyle w:val="ListParagraphChar"/>
          <w:i/>
        </w:rPr>
        <w:t>intended by management</w:t>
      </w:r>
      <w:r w:rsidR="00097E60" w:rsidRPr="00356A62">
        <w:rPr>
          <w:rStyle w:val="ListParagraphChar"/>
          <w:i/>
        </w:rPr>
        <w:t>,</w:t>
      </w:r>
      <w:r w:rsidR="008F7F36" w:rsidRPr="00356A62">
        <w:rPr>
          <w:rStyle w:val="ListParagraphChar"/>
          <w:i/>
        </w:rPr>
        <w:t xml:space="preserve"> </w:t>
      </w:r>
      <w:r w:rsidRPr="00356A62">
        <w:rPr>
          <w:rStyle w:val="ListParagraphChar"/>
          <w:i/>
        </w:rPr>
        <w:t xml:space="preserve">that can be directly attributed to </w:t>
      </w:r>
      <w:r w:rsidR="008F7F36" w:rsidRPr="00356A62">
        <w:rPr>
          <w:rStyle w:val="ListParagraphChar"/>
          <w:i/>
        </w:rPr>
        <w:t xml:space="preserve">items of property, plant and equipment or the acquisition of rights over certain longer-term intangible benefits plus any subsequent expenditure on these </w:t>
      </w:r>
      <w:r w:rsidR="00E77029" w:rsidRPr="00356A62">
        <w:rPr>
          <w:rStyle w:val="ListParagraphChar"/>
          <w:i/>
        </w:rPr>
        <w:t>that results in future economic benefits or service potential</w:t>
      </w:r>
      <w:r w:rsidR="008058E8" w:rsidRPr="00356A62">
        <w:rPr>
          <w:rStyle w:val="ListParagraphChar"/>
          <w:i/>
        </w:rPr>
        <w:t xml:space="preserve"> </w:t>
      </w:r>
      <w:r w:rsidR="00E77029" w:rsidRPr="00356A62">
        <w:rPr>
          <w:rStyle w:val="ListParagraphChar"/>
          <w:i/>
        </w:rPr>
        <w:t>associated with the item flow</w:t>
      </w:r>
      <w:r w:rsidR="008058E8" w:rsidRPr="00356A62">
        <w:rPr>
          <w:rStyle w:val="ListParagraphChar"/>
          <w:i/>
        </w:rPr>
        <w:t>ing</w:t>
      </w:r>
      <w:r w:rsidR="00E77029" w:rsidRPr="00356A62">
        <w:rPr>
          <w:rStyle w:val="ListParagraphChar"/>
          <w:i/>
        </w:rPr>
        <w:t xml:space="preserve"> to</w:t>
      </w:r>
      <w:r w:rsidR="008058E8" w:rsidRPr="00356A62">
        <w:rPr>
          <w:rStyle w:val="ListParagraphChar"/>
          <w:i/>
        </w:rPr>
        <w:t xml:space="preserve"> </w:t>
      </w:r>
      <w:r w:rsidR="00E77029" w:rsidRPr="00356A62">
        <w:rPr>
          <w:rStyle w:val="ListParagraphChar"/>
          <w:i/>
        </w:rPr>
        <w:t>the authority</w:t>
      </w:r>
    </w:p>
    <w:p w14:paraId="3D93EF58" w14:textId="573F4FA2" w:rsidR="001E18CE" w:rsidRPr="00C13231" w:rsidRDefault="00F12277" w:rsidP="003E786C">
      <w:pPr>
        <w:spacing w:line="259" w:lineRule="auto"/>
        <w:ind w:left="720"/>
        <w:jc w:val="both"/>
        <w:rPr>
          <w:rStyle w:val="ListParagraphChar"/>
          <w:color w:val="000000" w:themeColor="text1"/>
        </w:rPr>
      </w:pPr>
      <w:r w:rsidRPr="70BFB7CE">
        <w:rPr>
          <w:rStyle w:val="ListParagraphChar"/>
        </w:rPr>
        <w:t xml:space="preserve">Charging expenditure over a longer period is obviously attractive in the </w:t>
      </w:r>
      <w:r w:rsidR="00C13231" w:rsidRPr="70BFB7CE">
        <w:rPr>
          <w:rStyle w:val="ListParagraphChar"/>
        </w:rPr>
        <w:t>current</w:t>
      </w:r>
      <w:r w:rsidRPr="70BFB7CE">
        <w:rPr>
          <w:rStyle w:val="ListParagraphChar"/>
        </w:rPr>
        <w:t xml:space="preserve"> financial climate and it is often an area which is subject to much audit scrutiny over the years. In fact in the audit Terms of Reference the auditors describe unlawful capitalisation as ‘</w:t>
      </w:r>
      <w:r w:rsidR="00C13231" w:rsidRPr="70BFB7CE">
        <w:rPr>
          <w:rStyle w:val="ListParagraphChar"/>
        </w:rPr>
        <w:t>fraudulent</w:t>
      </w:r>
      <w:r w:rsidRPr="70BFB7CE">
        <w:rPr>
          <w:rStyle w:val="ListParagraphChar"/>
        </w:rPr>
        <w:t>’ emphas</w:t>
      </w:r>
      <w:r w:rsidR="00C13231" w:rsidRPr="70BFB7CE">
        <w:rPr>
          <w:rStyle w:val="ListParagraphChar"/>
        </w:rPr>
        <w:t>is</w:t>
      </w:r>
      <w:r w:rsidRPr="70BFB7CE">
        <w:rPr>
          <w:rStyle w:val="ListParagraphChar"/>
        </w:rPr>
        <w:t xml:space="preserve">ing the </w:t>
      </w:r>
      <w:r w:rsidR="00C13231" w:rsidRPr="70BFB7CE">
        <w:rPr>
          <w:rStyle w:val="ListParagraphChar"/>
        </w:rPr>
        <w:t>seriousness</w:t>
      </w:r>
      <w:r w:rsidRPr="70BFB7CE">
        <w:rPr>
          <w:rStyle w:val="ListParagraphChar"/>
        </w:rPr>
        <w:t xml:space="preserve"> of the issue. The authority has a </w:t>
      </w:r>
      <w:r w:rsidR="00C13231" w:rsidRPr="70BFB7CE">
        <w:rPr>
          <w:rStyle w:val="ListParagraphChar"/>
        </w:rPr>
        <w:t>significant</w:t>
      </w:r>
      <w:r w:rsidRPr="70BFB7CE">
        <w:rPr>
          <w:rStyle w:val="ListParagraphChar"/>
        </w:rPr>
        <w:t xml:space="preserve"> capital programme (</w:t>
      </w:r>
      <w:r w:rsidR="00C13231" w:rsidRPr="70BFB7CE">
        <w:rPr>
          <w:rStyle w:val="ListParagraphChar"/>
        </w:rPr>
        <w:t>approximately</w:t>
      </w:r>
      <w:r w:rsidRPr="70BFB7CE">
        <w:rPr>
          <w:rStyle w:val="ListParagraphChar"/>
        </w:rPr>
        <w:t xml:space="preserve"> </w:t>
      </w:r>
      <w:r w:rsidR="00095D55" w:rsidRPr="70BFB7CE">
        <w:rPr>
          <w:rStyle w:val="ListParagraphChar"/>
        </w:rPr>
        <w:t>£235 million</w:t>
      </w:r>
      <w:r w:rsidR="008058E8" w:rsidRPr="70BFB7CE">
        <w:rPr>
          <w:rStyle w:val="ListParagraphChar"/>
        </w:rPr>
        <w:t xml:space="preserve"> </w:t>
      </w:r>
      <w:r w:rsidR="00095D55" w:rsidRPr="70BFB7CE">
        <w:rPr>
          <w:rStyle w:val="ListParagraphChar"/>
        </w:rPr>
        <w:t>original budget</w:t>
      </w:r>
      <w:r w:rsidRPr="70BFB7CE">
        <w:rPr>
          <w:rStyle w:val="ListParagraphChar"/>
        </w:rPr>
        <w:t xml:space="preserve"> for 2023-24) and </w:t>
      </w:r>
      <w:r w:rsidR="00C13231" w:rsidRPr="70BFB7CE">
        <w:rPr>
          <w:rStyle w:val="ListParagraphChar"/>
        </w:rPr>
        <w:t>non-capital</w:t>
      </w:r>
      <w:r w:rsidRPr="70BFB7CE">
        <w:rPr>
          <w:rStyle w:val="ListParagraphChar"/>
        </w:rPr>
        <w:t xml:space="preserve"> items that should be charged to revenue sometimes </w:t>
      </w:r>
      <w:r w:rsidR="4200A300" w:rsidRPr="70BFB7CE">
        <w:rPr>
          <w:rStyle w:val="ListParagraphChar"/>
        </w:rPr>
        <w:t>arise</w:t>
      </w:r>
      <w:r w:rsidR="00D42F25" w:rsidRPr="70BFB7CE">
        <w:rPr>
          <w:rStyle w:val="ListParagraphChar"/>
        </w:rPr>
        <w:t>,</w:t>
      </w:r>
      <w:r w:rsidRPr="70BFB7CE">
        <w:rPr>
          <w:rStyle w:val="ListParagraphChar"/>
        </w:rPr>
        <w:t xml:space="preserve"> but are picked up by the Finance Team and reversed to revenue. </w:t>
      </w:r>
      <w:r w:rsidR="00C13231" w:rsidRPr="70BFB7CE">
        <w:rPr>
          <w:rStyle w:val="ListParagraphChar"/>
        </w:rPr>
        <w:t>Significant</w:t>
      </w:r>
      <w:r w:rsidRPr="70BFB7CE">
        <w:rPr>
          <w:rStyle w:val="ListParagraphChar"/>
        </w:rPr>
        <w:t xml:space="preserve"> charges are also made for salaries of officers employed on capital scheme with </w:t>
      </w:r>
      <w:r w:rsidR="00C13231" w:rsidRPr="70BFB7CE">
        <w:rPr>
          <w:rStyle w:val="ListParagraphChar"/>
        </w:rPr>
        <w:t>approximately</w:t>
      </w:r>
      <w:r w:rsidRPr="70BFB7CE">
        <w:rPr>
          <w:rStyle w:val="ListParagraphChar"/>
        </w:rPr>
        <w:t xml:space="preserve"> £</w:t>
      </w:r>
      <w:r w:rsidR="00095D55" w:rsidRPr="70BFB7CE">
        <w:rPr>
          <w:rStyle w:val="ListParagraphChar"/>
        </w:rPr>
        <w:t>1.2 million</w:t>
      </w:r>
      <w:r w:rsidRPr="70BFB7CE">
        <w:rPr>
          <w:rStyle w:val="ListParagraphChar"/>
        </w:rPr>
        <w:t xml:space="preserve"> </w:t>
      </w:r>
      <w:r w:rsidR="2D9C103F" w:rsidRPr="70BFB7CE">
        <w:rPr>
          <w:rStyle w:val="ListParagraphChar"/>
        </w:rPr>
        <w:t>b</w:t>
      </w:r>
      <w:r w:rsidRPr="70BFB7CE">
        <w:rPr>
          <w:rStyle w:val="ListParagraphChar"/>
        </w:rPr>
        <w:t>udgeted for 2023-24. This is a</w:t>
      </w:r>
      <w:r w:rsidR="008548BC" w:rsidRPr="70BFB7CE">
        <w:rPr>
          <w:rStyle w:val="ListParagraphChar"/>
        </w:rPr>
        <w:t xml:space="preserve">n area where professional judgement has to be applied </w:t>
      </w:r>
      <w:r w:rsidR="00584746" w:rsidRPr="70BFB7CE">
        <w:rPr>
          <w:rStyle w:val="ListParagraphChar"/>
        </w:rPr>
        <w:t xml:space="preserve">and the costs charged to capital are scrutinised to ensure that </w:t>
      </w:r>
      <w:r w:rsidR="00EC3B1D" w:rsidRPr="70BFB7CE">
        <w:rPr>
          <w:rStyle w:val="ListParagraphChar"/>
        </w:rPr>
        <w:t>they</w:t>
      </w:r>
      <w:r w:rsidR="00A72C2C" w:rsidRPr="70BFB7CE">
        <w:rPr>
          <w:rStyle w:val="ListParagraphChar"/>
        </w:rPr>
        <w:t xml:space="preserve"> are incremental costs</w:t>
      </w:r>
      <w:r w:rsidR="00A72C2C">
        <w:t xml:space="preserve"> and that the </w:t>
      </w:r>
      <w:r w:rsidR="00A72C2C" w:rsidRPr="70BFB7CE">
        <w:rPr>
          <w:rStyle w:val="ListParagraphChar"/>
        </w:rPr>
        <w:t>person being</w:t>
      </w:r>
      <w:r w:rsidR="00F87DF6" w:rsidRPr="70BFB7CE">
        <w:rPr>
          <w:rStyle w:val="ListParagraphChar"/>
        </w:rPr>
        <w:t xml:space="preserve"> </w:t>
      </w:r>
      <w:r w:rsidR="00A72C2C" w:rsidRPr="70BFB7CE">
        <w:rPr>
          <w:rStyle w:val="ListParagraphChar"/>
        </w:rPr>
        <w:t>charged to a capital project makes an identifiable and measurable contribution to</w:t>
      </w:r>
      <w:r w:rsidR="00F87DF6" w:rsidRPr="70BFB7CE">
        <w:rPr>
          <w:rStyle w:val="ListParagraphChar"/>
        </w:rPr>
        <w:t xml:space="preserve"> </w:t>
      </w:r>
      <w:r w:rsidR="00A72C2C" w:rsidRPr="70BFB7CE">
        <w:rPr>
          <w:rStyle w:val="ListParagraphChar"/>
        </w:rPr>
        <w:t xml:space="preserve">the physical development of property, plant or equipment. </w:t>
      </w:r>
      <w:r w:rsidR="00C361C7" w:rsidRPr="70BFB7CE">
        <w:rPr>
          <w:rStyle w:val="ListParagraphChar"/>
        </w:rPr>
        <w:t>I</w:t>
      </w:r>
      <w:r w:rsidRPr="70BFB7CE">
        <w:rPr>
          <w:rStyle w:val="ListParagraphChar"/>
        </w:rPr>
        <w:t xml:space="preserve">n </w:t>
      </w:r>
      <w:r w:rsidR="004F24D8" w:rsidRPr="70BFB7CE">
        <w:rPr>
          <w:rStyle w:val="ListParagraphChar"/>
        </w:rPr>
        <w:t>short salaries</w:t>
      </w:r>
      <w:r w:rsidRPr="70BFB7CE">
        <w:rPr>
          <w:rStyle w:val="ListParagraphChar"/>
        </w:rPr>
        <w:t xml:space="preserve"> can only be charged </w:t>
      </w:r>
      <w:r w:rsidR="00C361C7" w:rsidRPr="70BFB7CE">
        <w:rPr>
          <w:rStyle w:val="ListParagraphChar"/>
        </w:rPr>
        <w:t xml:space="preserve">to capital </w:t>
      </w:r>
      <w:r w:rsidRPr="70BFB7CE">
        <w:rPr>
          <w:rStyle w:val="ListParagraphChar"/>
        </w:rPr>
        <w:t>if ‘the salary would no</w:t>
      </w:r>
      <w:r w:rsidR="00C13231" w:rsidRPr="70BFB7CE">
        <w:rPr>
          <w:rStyle w:val="ListParagraphChar"/>
        </w:rPr>
        <w:t>t</w:t>
      </w:r>
      <w:r w:rsidRPr="70BFB7CE">
        <w:rPr>
          <w:rStyle w:val="ListParagraphChar"/>
        </w:rPr>
        <w:t xml:space="preserve"> have been </w:t>
      </w:r>
      <w:r w:rsidR="00C13231" w:rsidRPr="70BFB7CE">
        <w:rPr>
          <w:rStyle w:val="ListParagraphChar"/>
        </w:rPr>
        <w:t>incurred</w:t>
      </w:r>
      <w:r w:rsidRPr="70BFB7CE">
        <w:rPr>
          <w:rStyle w:val="ListParagraphChar"/>
        </w:rPr>
        <w:t xml:space="preserve"> if the </w:t>
      </w:r>
      <w:r w:rsidR="00C13231" w:rsidRPr="70BFB7CE">
        <w:rPr>
          <w:rStyle w:val="ListParagraphChar"/>
        </w:rPr>
        <w:t>project</w:t>
      </w:r>
      <w:r w:rsidRPr="70BFB7CE">
        <w:rPr>
          <w:rStyle w:val="ListParagraphChar"/>
        </w:rPr>
        <w:t xml:space="preserve"> had not gone ahead’. Whilst </w:t>
      </w:r>
      <w:r w:rsidR="008F5418" w:rsidRPr="70BFB7CE">
        <w:rPr>
          <w:rStyle w:val="ListParagraphChar"/>
        </w:rPr>
        <w:t xml:space="preserve">it is not possible </w:t>
      </w:r>
      <w:r w:rsidR="003638AE" w:rsidRPr="70BFB7CE">
        <w:rPr>
          <w:rStyle w:val="ListParagraphChar"/>
        </w:rPr>
        <w:t>to</w:t>
      </w:r>
      <w:r w:rsidRPr="70BFB7CE">
        <w:rPr>
          <w:rStyle w:val="ListParagraphChar"/>
        </w:rPr>
        <w:t xml:space="preserve"> say that 100% of </w:t>
      </w:r>
      <w:r w:rsidR="00C13231" w:rsidRPr="70BFB7CE">
        <w:rPr>
          <w:rStyle w:val="ListParagraphChar"/>
        </w:rPr>
        <w:t>non-capital</w:t>
      </w:r>
      <w:r w:rsidRPr="70BFB7CE">
        <w:rPr>
          <w:rStyle w:val="ListParagraphChar"/>
        </w:rPr>
        <w:t xml:space="preserve"> items are picked up and corrected</w:t>
      </w:r>
      <w:r w:rsidR="003638AE" w:rsidRPr="70BFB7CE">
        <w:rPr>
          <w:rStyle w:val="ListParagraphChar"/>
        </w:rPr>
        <w:t>, there is a sufficient level of scrutiny to ensure that all</w:t>
      </w:r>
      <w:r w:rsidR="00BB17B3" w:rsidRPr="70BFB7CE">
        <w:rPr>
          <w:rStyle w:val="ListParagraphChar"/>
        </w:rPr>
        <w:t xml:space="preserve"> material items are properly charged and</w:t>
      </w:r>
      <w:r w:rsidRPr="70BFB7CE">
        <w:rPr>
          <w:rStyle w:val="ListParagraphChar"/>
        </w:rPr>
        <w:t xml:space="preserve"> I am satisfied that we apply the princip</w:t>
      </w:r>
      <w:r w:rsidR="681392E5" w:rsidRPr="70BFB7CE">
        <w:rPr>
          <w:rStyle w:val="ListParagraphChar"/>
        </w:rPr>
        <w:t>le</w:t>
      </w:r>
      <w:r w:rsidRPr="70BFB7CE">
        <w:rPr>
          <w:rStyle w:val="ListParagraphChar"/>
        </w:rPr>
        <w:t xml:space="preserve"> in accordance with the Accounting Code of </w:t>
      </w:r>
      <w:r w:rsidR="00C13231" w:rsidRPr="70BFB7CE">
        <w:rPr>
          <w:rStyle w:val="ListParagraphChar"/>
        </w:rPr>
        <w:t>Practice</w:t>
      </w:r>
      <w:r w:rsidR="00D42F25" w:rsidRPr="70BFB7CE">
        <w:rPr>
          <w:rStyle w:val="ListParagraphChar"/>
        </w:rPr>
        <w:t>.</w:t>
      </w:r>
    </w:p>
    <w:p w14:paraId="7BED268E" w14:textId="5CACFC6F" w:rsidR="00F12277" w:rsidRPr="004F24D8" w:rsidRDefault="00F12277" w:rsidP="008B1476">
      <w:pPr>
        <w:pStyle w:val="ListParagraph"/>
        <w:numPr>
          <w:ilvl w:val="0"/>
          <w:numId w:val="15"/>
        </w:numPr>
        <w:jc w:val="both"/>
        <w:rPr>
          <w:rStyle w:val="ListParagraphChar"/>
          <w:b/>
          <w:u w:val="single"/>
        </w:rPr>
      </w:pPr>
      <w:r w:rsidRPr="004F24D8">
        <w:rPr>
          <w:rStyle w:val="ListParagraphChar"/>
          <w:b/>
          <w:u w:val="single"/>
        </w:rPr>
        <w:t>Charging to the HRA</w:t>
      </w:r>
    </w:p>
    <w:p w14:paraId="02336195" w14:textId="32DEDC29" w:rsidR="00F12277" w:rsidRPr="004F24D8" w:rsidRDefault="00F12277" w:rsidP="008B1476">
      <w:pPr>
        <w:pStyle w:val="ListParagraph"/>
        <w:numPr>
          <w:ilvl w:val="0"/>
          <w:numId w:val="0"/>
        </w:numPr>
        <w:ind w:left="720"/>
        <w:jc w:val="both"/>
        <w:rPr>
          <w:rStyle w:val="ListParagraphChar"/>
        </w:rPr>
      </w:pPr>
      <w:r w:rsidRPr="70BFB7CE">
        <w:rPr>
          <w:rStyle w:val="ListParagraphChar"/>
        </w:rPr>
        <w:t xml:space="preserve">Income and expenditure credited and debited to the HRA is governed under the </w:t>
      </w:r>
      <w:r w:rsidR="002A7371" w:rsidRPr="70BFB7CE">
        <w:rPr>
          <w:rStyle w:val="ListParagraphChar"/>
        </w:rPr>
        <w:t>1985 Housing Act</w:t>
      </w:r>
      <w:r w:rsidR="0069143B" w:rsidRPr="70BFB7CE">
        <w:rPr>
          <w:rStyle w:val="ListParagraphChar"/>
        </w:rPr>
        <w:t xml:space="preserve"> </w:t>
      </w:r>
      <w:r w:rsidR="007B4926" w:rsidRPr="70BFB7CE">
        <w:rPr>
          <w:rStyle w:val="ListParagraphChar"/>
        </w:rPr>
        <w:t xml:space="preserve">and further defined </w:t>
      </w:r>
      <w:r w:rsidR="00FF6305" w:rsidRPr="70BFB7CE">
        <w:rPr>
          <w:rStyle w:val="ListParagraphChar"/>
        </w:rPr>
        <w:t xml:space="preserve">by DoE circular 8/95 which has subsequently been replaced by </w:t>
      </w:r>
      <w:r w:rsidR="00E51D5E" w:rsidRPr="70BFB7CE">
        <w:rPr>
          <w:rStyle w:val="ListParagraphChar"/>
        </w:rPr>
        <w:t xml:space="preserve">DLUHC Guidance “Operation of the Housing Revenue Account ring-fence” published </w:t>
      </w:r>
      <w:r w:rsidR="007170D9" w:rsidRPr="70BFB7CE">
        <w:rPr>
          <w:rStyle w:val="ListParagraphChar"/>
        </w:rPr>
        <w:t>10</w:t>
      </w:r>
      <w:r w:rsidR="007170D9" w:rsidRPr="70BFB7CE">
        <w:rPr>
          <w:rStyle w:val="ListParagraphChar"/>
          <w:vertAlign w:val="superscript"/>
        </w:rPr>
        <w:t>th</w:t>
      </w:r>
      <w:r w:rsidR="007170D9" w:rsidRPr="70BFB7CE">
        <w:rPr>
          <w:rStyle w:val="ListParagraphChar"/>
        </w:rPr>
        <w:t xml:space="preserve"> November 2020</w:t>
      </w:r>
      <w:r w:rsidRPr="70BFB7CE">
        <w:rPr>
          <w:rStyle w:val="ListParagraphChar"/>
        </w:rPr>
        <w:t xml:space="preserve">. </w:t>
      </w:r>
      <w:r w:rsidR="007A6826" w:rsidRPr="70BFB7CE">
        <w:rPr>
          <w:rStyle w:val="ListParagraphChar"/>
        </w:rPr>
        <w:t xml:space="preserve">There </w:t>
      </w:r>
      <w:r w:rsidR="074E58B5" w:rsidRPr="70BFB7CE">
        <w:rPr>
          <w:rStyle w:val="ListParagraphChar"/>
        </w:rPr>
        <w:t>can be</w:t>
      </w:r>
      <w:r w:rsidR="007A6826" w:rsidRPr="70BFB7CE">
        <w:rPr>
          <w:rStyle w:val="ListParagraphChar"/>
        </w:rPr>
        <w:t xml:space="preserve"> a </w:t>
      </w:r>
      <w:r w:rsidR="007A6826" w:rsidRPr="70BFB7CE">
        <w:rPr>
          <w:rStyle w:val="ListParagraphChar"/>
        </w:rPr>
        <w:lastRenderedPageBreak/>
        <w:t xml:space="preserve">temptation to use the HRA to subsidise the General Fund (as in the case of Nottingham City Council) which is against the </w:t>
      </w:r>
      <w:r w:rsidR="00C13231" w:rsidRPr="70BFB7CE">
        <w:rPr>
          <w:rStyle w:val="ListParagraphChar"/>
        </w:rPr>
        <w:t>requirements</w:t>
      </w:r>
      <w:r w:rsidR="007A6826" w:rsidRPr="70BFB7CE">
        <w:rPr>
          <w:rStyle w:val="ListParagraphChar"/>
        </w:rPr>
        <w:t xml:space="preserve"> of the Code</w:t>
      </w:r>
      <w:r w:rsidR="00D20063" w:rsidRPr="70BFB7CE">
        <w:rPr>
          <w:rStyle w:val="ListParagraphChar"/>
        </w:rPr>
        <w:t xml:space="preserve"> and is unlawful</w:t>
      </w:r>
      <w:r w:rsidR="00F4257B" w:rsidRPr="70BFB7CE">
        <w:rPr>
          <w:rStyle w:val="ListParagraphChar"/>
        </w:rPr>
        <w:t xml:space="preserve">.  Where income and expenditure </w:t>
      </w:r>
      <w:r w:rsidR="00827172" w:rsidRPr="70BFB7CE">
        <w:rPr>
          <w:rStyle w:val="ListParagraphChar"/>
        </w:rPr>
        <w:t xml:space="preserve">relates to a mix of general fund and HRA activity, professional judgement must be applied </w:t>
      </w:r>
      <w:r w:rsidR="00F04FE4" w:rsidRPr="70BFB7CE">
        <w:rPr>
          <w:rStyle w:val="ListParagraphChar"/>
        </w:rPr>
        <w:t>to determine the correct apportionment; an example of this is staff time which is allocated through recharges</w:t>
      </w:r>
      <w:r w:rsidR="0078733D" w:rsidRPr="70BFB7CE">
        <w:rPr>
          <w:rStyle w:val="ListParagraphChar"/>
        </w:rPr>
        <w:t>.</w:t>
      </w:r>
      <w:r w:rsidR="007A6826" w:rsidRPr="70BFB7CE">
        <w:rPr>
          <w:rStyle w:val="ListParagraphChar"/>
        </w:rPr>
        <w:t xml:space="preserve"> The interaction of the Housing Company with the HRA and the General Fund is sometimes a subject of debate </w:t>
      </w:r>
      <w:r w:rsidR="007D463D" w:rsidRPr="70BFB7CE">
        <w:rPr>
          <w:rStyle w:val="ListParagraphChar"/>
        </w:rPr>
        <w:t xml:space="preserve">as we try to ensure that the HRA is </w:t>
      </w:r>
      <w:r w:rsidR="007A6826" w:rsidRPr="70BFB7CE">
        <w:rPr>
          <w:rStyle w:val="ListParagraphChar"/>
        </w:rPr>
        <w:t xml:space="preserve">no worse off than any other landlord </w:t>
      </w:r>
      <w:r w:rsidR="007D463D" w:rsidRPr="70BFB7CE">
        <w:rPr>
          <w:rStyle w:val="ListParagraphChar"/>
        </w:rPr>
        <w:t>in the pu</w:t>
      </w:r>
      <w:r w:rsidR="007A6826" w:rsidRPr="70BFB7CE">
        <w:rPr>
          <w:rStyle w:val="ListParagraphChar"/>
        </w:rPr>
        <w:t>rchas</w:t>
      </w:r>
      <w:r w:rsidR="007D463D" w:rsidRPr="70BFB7CE">
        <w:rPr>
          <w:rStyle w:val="ListParagraphChar"/>
        </w:rPr>
        <w:t>e</w:t>
      </w:r>
      <w:r w:rsidR="007A6826" w:rsidRPr="70BFB7CE">
        <w:rPr>
          <w:rStyle w:val="ListParagraphChar"/>
        </w:rPr>
        <w:t xml:space="preserve"> </w:t>
      </w:r>
      <w:r w:rsidR="007D463D" w:rsidRPr="70BFB7CE">
        <w:rPr>
          <w:rStyle w:val="ListParagraphChar"/>
        </w:rPr>
        <w:t xml:space="preserve">and operation of </w:t>
      </w:r>
      <w:r w:rsidR="007A6826" w:rsidRPr="70BFB7CE">
        <w:rPr>
          <w:rStyle w:val="ListParagraphChar"/>
        </w:rPr>
        <w:t>social dwellings</w:t>
      </w:r>
      <w:r w:rsidR="007D463D" w:rsidRPr="70BFB7CE">
        <w:rPr>
          <w:rStyle w:val="ListParagraphChar"/>
        </w:rPr>
        <w:t xml:space="preserve"> for its tenants</w:t>
      </w:r>
      <w:r w:rsidR="007A6826" w:rsidRPr="70BFB7CE">
        <w:rPr>
          <w:rStyle w:val="ListParagraphChar"/>
        </w:rPr>
        <w:t xml:space="preserve">. I am generally satisfied that </w:t>
      </w:r>
      <w:r w:rsidR="007D463D" w:rsidRPr="70BFB7CE">
        <w:rPr>
          <w:rStyle w:val="ListParagraphChar"/>
        </w:rPr>
        <w:t xml:space="preserve">the council does </w:t>
      </w:r>
      <w:r w:rsidR="007A6826" w:rsidRPr="70BFB7CE">
        <w:rPr>
          <w:rStyle w:val="ListParagraphChar"/>
        </w:rPr>
        <w:t>make appropriate credits and debits to the HRA</w:t>
      </w:r>
      <w:r w:rsidR="00D42F25" w:rsidRPr="70BFB7CE">
        <w:rPr>
          <w:rStyle w:val="ListParagraphChar"/>
        </w:rPr>
        <w:t xml:space="preserve"> in accordance with legislation and </w:t>
      </w:r>
      <w:r w:rsidR="00533205" w:rsidRPr="70BFB7CE">
        <w:rPr>
          <w:rStyle w:val="ListParagraphChar"/>
        </w:rPr>
        <w:t>guidance</w:t>
      </w:r>
      <w:r w:rsidR="007A6826" w:rsidRPr="70BFB7CE">
        <w:rPr>
          <w:rStyle w:val="ListParagraphChar"/>
        </w:rPr>
        <w:t xml:space="preserve">.  </w:t>
      </w:r>
      <w:r w:rsidRPr="70BFB7CE">
        <w:rPr>
          <w:rStyle w:val="ListParagraphChar"/>
        </w:rPr>
        <w:t xml:space="preserve"> </w:t>
      </w:r>
    </w:p>
    <w:p w14:paraId="5A55BF22" w14:textId="7829628D" w:rsidR="00390D59" w:rsidRPr="004F24D8" w:rsidRDefault="001E18CE" w:rsidP="008B1476">
      <w:pPr>
        <w:pStyle w:val="ListParagraph"/>
        <w:numPr>
          <w:ilvl w:val="0"/>
          <w:numId w:val="15"/>
        </w:numPr>
        <w:jc w:val="both"/>
        <w:rPr>
          <w:rStyle w:val="ListParagraphChar"/>
          <w:b/>
          <w:u w:val="single"/>
        </w:rPr>
      </w:pPr>
      <w:r w:rsidRPr="004F24D8">
        <w:rPr>
          <w:rStyle w:val="ListParagraphChar"/>
          <w:b/>
          <w:u w:val="single"/>
        </w:rPr>
        <w:t xml:space="preserve">Local  Authority Borrowing/ Lending to </w:t>
      </w:r>
      <w:r w:rsidR="00095858" w:rsidRPr="004F24D8">
        <w:rPr>
          <w:rStyle w:val="ListParagraphChar"/>
          <w:b/>
          <w:u w:val="single"/>
        </w:rPr>
        <w:t>Council-owned companies</w:t>
      </w:r>
    </w:p>
    <w:p w14:paraId="48B601B2" w14:textId="71A3BE42" w:rsidR="00095858" w:rsidRPr="0069158F" w:rsidRDefault="00C13231" w:rsidP="008B1476">
      <w:pPr>
        <w:pStyle w:val="ListParagraph"/>
        <w:numPr>
          <w:ilvl w:val="0"/>
          <w:numId w:val="0"/>
        </w:numPr>
        <w:ind w:left="720"/>
        <w:jc w:val="both"/>
        <w:rPr>
          <w:rStyle w:val="ListParagraphChar"/>
        </w:rPr>
      </w:pPr>
      <w:r w:rsidRPr="3CEA2146">
        <w:rPr>
          <w:rStyle w:val="ListParagraphChar"/>
        </w:rPr>
        <w:t xml:space="preserve">The Capital Financing Requirement (CFR) for a local authority is described as the ‘underlying need for the authority to finance capital expenditure by borrowing’. It is important to note that the borrowing may be in the form of </w:t>
      </w:r>
      <w:r w:rsidR="6B084035" w:rsidRPr="3CEA2146">
        <w:rPr>
          <w:rStyle w:val="ListParagraphChar"/>
        </w:rPr>
        <w:t>‘</w:t>
      </w:r>
      <w:r w:rsidRPr="3CEA2146">
        <w:rPr>
          <w:rStyle w:val="ListParagraphChar"/>
        </w:rPr>
        <w:t>internal borrowing</w:t>
      </w:r>
      <w:r w:rsidR="60FBA7AF" w:rsidRPr="3CEA2146">
        <w:rPr>
          <w:rStyle w:val="ListParagraphChar"/>
        </w:rPr>
        <w:t>’</w:t>
      </w:r>
      <w:r w:rsidRPr="3CEA2146">
        <w:rPr>
          <w:rStyle w:val="ListParagraphChar"/>
        </w:rPr>
        <w:t xml:space="preserve"> </w:t>
      </w:r>
      <w:r w:rsidR="0069158F" w:rsidRPr="3CEA2146">
        <w:rPr>
          <w:rStyle w:val="ListParagraphChar"/>
        </w:rPr>
        <w:t>i.e.</w:t>
      </w:r>
      <w:r w:rsidRPr="3CEA2146">
        <w:rPr>
          <w:rStyle w:val="ListParagraphChar"/>
        </w:rPr>
        <w:t xml:space="preserve"> using existing balances and reserves or external borrowing which would be typically from Public Works Loans Board (PWLB). In Oxford (apart from £198</w:t>
      </w:r>
      <w:r w:rsidR="00D42F25" w:rsidRPr="3CEA2146">
        <w:rPr>
          <w:rStyle w:val="ListParagraphChar"/>
        </w:rPr>
        <w:t xml:space="preserve"> </w:t>
      </w:r>
      <w:r w:rsidRPr="3CEA2146">
        <w:rPr>
          <w:rStyle w:val="ListParagraphChar"/>
        </w:rPr>
        <w:t>million of external HRA debt</w:t>
      </w:r>
      <w:r w:rsidR="00D42F25" w:rsidRPr="3CEA2146">
        <w:rPr>
          <w:rStyle w:val="ListParagraphChar"/>
        </w:rPr>
        <w:t>,</w:t>
      </w:r>
      <w:r w:rsidRPr="3CEA2146">
        <w:rPr>
          <w:rStyle w:val="ListParagraphChar"/>
        </w:rPr>
        <w:t xml:space="preserve"> taken out for </w:t>
      </w:r>
      <w:r w:rsidR="0069158F" w:rsidRPr="3CEA2146">
        <w:rPr>
          <w:rStyle w:val="ListParagraphChar"/>
        </w:rPr>
        <w:t>self-financing</w:t>
      </w:r>
      <w:r w:rsidRPr="3CEA2146">
        <w:rPr>
          <w:rStyle w:val="ListParagraphChar"/>
        </w:rPr>
        <w:t xml:space="preserve"> in 2012) the authority currently has no external borrowing. The CFR and the external debt position over time is as shown </w:t>
      </w:r>
      <w:r w:rsidR="0069158F" w:rsidRPr="3CEA2146">
        <w:rPr>
          <w:rStyle w:val="ListParagraphChar"/>
        </w:rPr>
        <w:t>below</w:t>
      </w:r>
      <w:r w:rsidR="00551F9F" w:rsidRPr="3CEA2146">
        <w:rPr>
          <w:rStyle w:val="ListParagraphChar"/>
        </w:rPr>
        <w:t xml:space="preserve"> (from the </w:t>
      </w:r>
      <w:r w:rsidR="00F755A0" w:rsidRPr="3CEA2146">
        <w:rPr>
          <w:rStyle w:val="ListParagraphChar"/>
        </w:rPr>
        <w:t>Treasury</w:t>
      </w:r>
      <w:r w:rsidR="00551F9F" w:rsidRPr="3CEA2146">
        <w:rPr>
          <w:rStyle w:val="ListParagraphChar"/>
        </w:rPr>
        <w:t xml:space="preserve"> Management Strategy 2023/24</w:t>
      </w:r>
      <w:r w:rsidR="00F755A0" w:rsidRPr="3CEA2146">
        <w:rPr>
          <w:rStyle w:val="ListParagraphChar"/>
        </w:rPr>
        <w:t xml:space="preserve"> which is based on the b</w:t>
      </w:r>
      <w:r w:rsidR="00F8037F" w:rsidRPr="3CEA2146">
        <w:rPr>
          <w:rStyle w:val="ListParagraphChar"/>
        </w:rPr>
        <w:t>u</w:t>
      </w:r>
      <w:r w:rsidR="00F755A0" w:rsidRPr="3CEA2146">
        <w:rPr>
          <w:rStyle w:val="ListParagraphChar"/>
        </w:rPr>
        <w:t>dgets set in February 2023)</w:t>
      </w:r>
      <w:r w:rsidR="0069158F" w:rsidRPr="3CEA2146">
        <w:rPr>
          <w:rStyle w:val="ListParagraphChar"/>
        </w:rPr>
        <w:t>:</w:t>
      </w:r>
    </w:p>
    <w:p w14:paraId="1B845963" w14:textId="6BF3B09D" w:rsidR="00F8037F" w:rsidRDefault="00F8037F" w:rsidP="003330F2">
      <w:pPr>
        <w:pStyle w:val="ListParagraph"/>
        <w:numPr>
          <w:ilvl w:val="0"/>
          <w:numId w:val="0"/>
        </w:numPr>
        <w:ind w:left="426"/>
        <w:jc w:val="both"/>
        <w:rPr>
          <w:rStyle w:val="ListParagraphChar"/>
        </w:rPr>
      </w:pPr>
    </w:p>
    <w:p w14:paraId="07CB69D3" w14:textId="0BB0DFBF" w:rsidR="00C628B7" w:rsidRDefault="00C628B7" w:rsidP="003330F2">
      <w:pPr>
        <w:pStyle w:val="ListParagraph"/>
        <w:numPr>
          <w:ilvl w:val="0"/>
          <w:numId w:val="0"/>
        </w:numPr>
        <w:ind w:left="426"/>
        <w:jc w:val="both"/>
        <w:rPr>
          <w:rStyle w:val="ListParagraphChar"/>
        </w:rPr>
      </w:pPr>
      <w:r>
        <w:rPr>
          <w:noProof/>
        </w:rPr>
        <w:drawing>
          <wp:inline distT="0" distB="0" distL="0" distR="0" wp14:anchorId="0E2E0488" wp14:editId="6B75BA8F">
            <wp:extent cx="5904230" cy="256476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4230" cy="2564765"/>
                    </a:xfrm>
                    <a:prstGeom prst="rect">
                      <a:avLst/>
                    </a:prstGeom>
                  </pic:spPr>
                </pic:pic>
              </a:graphicData>
            </a:graphic>
          </wp:inline>
        </w:drawing>
      </w:r>
    </w:p>
    <w:p w14:paraId="1B7D9AB7" w14:textId="1B2FAF98" w:rsidR="00C628B7" w:rsidRPr="0069158F" w:rsidRDefault="00B951F8" w:rsidP="003330F2">
      <w:pPr>
        <w:pStyle w:val="ListParagraph"/>
        <w:numPr>
          <w:ilvl w:val="0"/>
          <w:numId w:val="0"/>
        </w:numPr>
        <w:ind w:left="426"/>
        <w:jc w:val="both"/>
        <w:rPr>
          <w:rStyle w:val="ListParagraphChar"/>
        </w:rPr>
      </w:pPr>
      <w:r w:rsidRPr="00B951F8">
        <w:rPr>
          <w:noProof/>
        </w:rPr>
        <w:lastRenderedPageBreak/>
        <w:drawing>
          <wp:inline distT="0" distB="0" distL="0" distR="0" wp14:anchorId="0F70259A" wp14:editId="3C78CA5F">
            <wp:extent cx="5904230" cy="255778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4230" cy="2557780"/>
                    </a:xfrm>
                    <a:prstGeom prst="rect">
                      <a:avLst/>
                    </a:prstGeom>
                  </pic:spPr>
                </pic:pic>
              </a:graphicData>
            </a:graphic>
          </wp:inline>
        </w:drawing>
      </w:r>
    </w:p>
    <w:p w14:paraId="016A7A20" w14:textId="77777777" w:rsidR="008A3A94" w:rsidRPr="0069158F" w:rsidRDefault="008A3A94" w:rsidP="003330F2">
      <w:pPr>
        <w:pStyle w:val="ListParagraph"/>
        <w:numPr>
          <w:ilvl w:val="0"/>
          <w:numId w:val="0"/>
        </w:numPr>
        <w:ind w:left="426"/>
        <w:jc w:val="both"/>
        <w:rPr>
          <w:rStyle w:val="ListParagraphChar"/>
        </w:rPr>
      </w:pPr>
    </w:p>
    <w:p w14:paraId="6A14E641" w14:textId="350E4E30" w:rsidR="00D42F25" w:rsidRDefault="00D42F25" w:rsidP="003330F2">
      <w:pPr>
        <w:pStyle w:val="ListParagraph"/>
        <w:numPr>
          <w:ilvl w:val="0"/>
          <w:numId w:val="0"/>
        </w:numPr>
        <w:ind w:left="426"/>
        <w:jc w:val="both"/>
        <w:rPr>
          <w:rStyle w:val="ListParagraphChar"/>
        </w:rPr>
      </w:pPr>
      <w:r>
        <w:rPr>
          <w:rStyle w:val="ListParagraphChar"/>
        </w:rPr>
        <w:t>The charts above indicate that:</w:t>
      </w:r>
    </w:p>
    <w:p w14:paraId="192DDA42" w14:textId="168C9A5A" w:rsidR="008B1476" w:rsidRPr="003E786C" w:rsidRDefault="008B1476" w:rsidP="70BFB7CE">
      <w:pPr>
        <w:pStyle w:val="ListParagraph"/>
        <w:numPr>
          <w:ilvl w:val="0"/>
          <w:numId w:val="14"/>
        </w:numPr>
        <w:jc w:val="both"/>
        <w:rPr>
          <w:rStyle w:val="ListParagraphChar"/>
        </w:rPr>
      </w:pPr>
      <w:r w:rsidRPr="70BFB7CE">
        <w:rPr>
          <w:rStyle w:val="ListParagraphChar"/>
          <w:b/>
          <w:bCs/>
        </w:rPr>
        <w:t>General Fund</w:t>
      </w:r>
      <w:r w:rsidRPr="70BFB7CE">
        <w:rPr>
          <w:rStyle w:val="ListParagraphChar"/>
        </w:rPr>
        <w:t xml:space="preserve"> - based on current capital plans, will repay external debt by 2052/53 and that the underlying need to borrow (the Capital Financing Requirement) reduces over time through the repayment of debt from the </w:t>
      </w:r>
      <w:r w:rsidRPr="003E786C">
        <w:rPr>
          <w:rStyle w:val="ListParagraphChar"/>
        </w:rPr>
        <w:t>companies and the application of Minimum Revenue Permission (MRP).  This demonstrates proper management of the General Fund borrowing needs;</w:t>
      </w:r>
    </w:p>
    <w:p w14:paraId="0F1AE6D4" w14:textId="2B0A3B0D" w:rsidR="008B1476" w:rsidRDefault="008B1476" w:rsidP="003E786C">
      <w:pPr>
        <w:pStyle w:val="ListParagraph"/>
        <w:numPr>
          <w:ilvl w:val="0"/>
          <w:numId w:val="14"/>
        </w:numPr>
        <w:ind w:left="1134" w:hanging="283"/>
        <w:jc w:val="both"/>
        <w:rPr>
          <w:rStyle w:val="ListParagraphChar"/>
        </w:rPr>
      </w:pPr>
      <w:r w:rsidRPr="18E58095">
        <w:rPr>
          <w:rStyle w:val="ListParagraphChar"/>
          <w:b/>
          <w:bCs/>
        </w:rPr>
        <w:t>HRA -</w:t>
      </w:r>
      <w:r>
        <w:rPr>
          <w:rStyle w:val="ListParagraphChar"/>
        </w:rPr>
        <w:t>debt follows its Capital Financing Requirement (CFR) with a consistent amount of internal borrowing (which arose on the transfer of the HRA garages and shops to the General Fund).  The HRA does not have to make an MRP, however in order to reduce its CFR in line with the debt repayment there would need to be a charge to revenue (a Voluntary Revenue Provision).  The graph assumes that sufficient revenue balances are built up in order to allow repayment of debt, however due to the nature of the HRA and the asset-based nature of its service, there will always be a need to incur capital expenditure and so rather than repaying debt, a decision may be made to re-borrow the funds.  This is a normal process for the HRA.</w:t>
      </w:r>
    </w:p>
    <w:p w14:paraId="6AEFDC96" w14:textId="715CACAD" w:rsidR="00C13231" w:rsidRPr="0069158F" w:rsidRDefault="00C13231" w:rsidP="008B1476">
      <w:pPr>
        <w:pStyle w:val="ListParagraph"/>
        <w:numPr>
          <w:ilvl w:val="0"/>
          <w:numId w:val="0"/>
        </w:numPr>
        <w:ind w:left="720"/>
        <w:jc w:val="both"/>
        <w:rPr>
          <w:rStyle w:val="ListParagraphChar"/>
        </w:rPr>
      </w:pPr>
      <w:r w:rsidRPr="0069158F">
        <w:rPr>
          <w:rStyle w:val="ListParagraphChar"/>
        </w:rPr>
        <w:t>This situation of using internal borrowing is estimated to last fo</w:t>
      </w:r>
      <w:r w:rsidR="00151F0F" w:rsidRPr="0069158F">
        <w:rPr>
          <w:rStyle w:val="ListParagraphChar"/>
        </w:rPr>
        <w:t xml:space="preserve">r some time although at some point the council will externally borrow at which point the risk will be increased. Whist the borrowing is used to fund schemes </w:t>
      </w:r>
      <w:r w:rsidR="0069158F" w:rsidRPr="0069158F">
        <w:rPr>
          <w:rStyle w:val="ListParagraphChar"/>
        </w:rPr>
        <w:t>across</w:t>
      </w:r>
      <w:r w:rsidR="00151F0F" w:rsidRPr="0069158F">
        <w:rPr>
          <w:rStyle w:val="ListParagraphChar"/>
        </w:rPr>
        <w:t xml:space="preserve"> the programme the largest allocation is in respect of lending to </w:t>
      </w:r>
      <w:r w:rsidR="0069158F" w:rsidRPr="0069158F">
        <w:rPr>
          <w:rStyle w:val="ListParagraphChar"/>
        </w:rPr>
        <w:t>OX Place</w:t>
      </w:r>
      <w:r w:rsidR="00151F0F" w:rsidRPr="0069158F">
        <w:rPr>
          <w:rStyle w:val="ListParagraphChar"/>
        </w:rPr>
        <w:t xml:space="preserve"> both the Investment Company and the Development Company. Estimated lending over the years is shown below:</w:t>
      </w:r>
    </w:p>
    <w:p w14:paraId="65B8C7BC" w14:textId="07AF660A" w:rsidR="00151F0F" w:rsidRDefault="00FD0124" w:rsidP="003330F2">
      <w:pPr>
        <w:pStyle w:val="ListParagraph"/>
        <w:numPr>
          <w:ilvl w:val="0"/>
          <w:numId w:val="0"/>
        </w:numPr>
        <w:ind w:left="426"/>
        <w:jc w:val="both"/>
        <w:rPr>
          <w:rStyle w:val="ListParagraphChar"/>
        </w:rPr>
      </w:pPr>
      <w:r w:rsidRPr="00FD0124">
        <w:rPr>
          <w:noProof/>
        </w:rPr>
        <w:drawing>
          <wp:inline distT="0" distB="0" distL="0" distR="0" wp14:anchorId="6EEA5423" wp14:editId="7B5EF5DE">
            <wp:extent cx="5904230" cy="12141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4230" cy="1214120"/>
                    </a:xfrm>
                    <a:prstGeom prst="rect">
                      <a:avLst/>
                    </a:prstGeom>
                  </pic:spPr>
                </pic:pic>
              </a:graphicData>
            </a:graphic>
          </wp:inline>
        </w:drawing>
      </w:r>
    </w:p>
    <w:p w14:paraId="02728889" w14:textId="0BA5F177" w:rsidR="004318BA" w:rsidRPr="0069158F" w:rsidRDefault="004318BA" w:rsidP="003330F2">
      <w:pPr>
        <w:pStyle w:val="ListParagraph"/>
        <w:numPr>
          <w:ilvl w:val="0"/>
          <w:numId w:val="0"/>
        </w:numPr>
        <w:ind w:left="426"/>
        <w:jc w:val="both"/>
        <w:rPr>
          <w:rStyle w:val="ListParagraphChar"/>
        </w:rPr>
      </w:pPr>
      <w:r w:rsidRPr="004318BA">
        <w:rPr>
          <w:noProof/>
        </w:rPr>
        <w:lastRenderedPageBreak/>
        <w:drawing>
          <wp:inline distT="0" distB="0" distL="0" distR="0" wp14:anchorId="782D1614" wp14:editId="7EE430EF">
            <wp:extent cx="5904230" cy="115951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4230" cy="1159510"/>
                    </a:xfrm>
                    <a:prstGeom prst="rect">
                      <a:avLst/>
                    </a:prstGeom>
                  </pic:spPr>
                </pic:pic>
              </a:graphicData>
            </a:graphic>
          </wp:inline>
        </w:drawing>
      </w:r>
    </w:p>
    <w:p w14:paraId="4E0CEE85" w14:textId="77777777" w:rsidR="00151F0F" w:rsidRPr="0069158F" w:rsidRDefault="00151F0F" w:rsidP="003330F2">
      <w:pPr>
        <w:pStyle w:val="ListParagraph"/>
        <w:numPr>
          <w:ilvl w:val="0"/>
          <w:numId w:val="0"/>
        </w:numPr>
        <w:ind w:left="426"/>
        <w:jc w:val="both"/>
        <w:rPr>
          <w:rStyle w:val="ListParagraphChar"/>
        </w:rPr>
      </w:pPr>
    </w:p>
    <w:p w14:paraId="3253AC83" w14:textId="608A261A" w:rsidR="0069158F" w:rsidRPr="0069158F" w:rsidRDefault="00151F0F" w:rsidP="008B1476">
      <w:pPr>
        <w:pStyle w:val="ListParagraph"/>
        <w:numPr>
          <w:ilvl w:val="0"/>
          <w:numId w:val="0"/>
        </w:numPr>
        <w:ind w:left="720"/>
        <w:jc w:val="both"/>
        <w:rPr>
          <w:rStyle w:val="ListParagraphChar"/>
        </w:rPr>
      </w:pPr>
      <w:r w:rsidRPr="003E786C">
        <w:rPr>
          <w:rStyle w:val="ListParagraphChar"/>
        </w:rPr>
        <w:t>There are risks in these transactions</w:t>
      </w:r>
      <w:r w:rsidR="00E71434" w:rsidRPr="003E786C">
        <w:rPr>
          <w:rStyle w:val="ListParagraphChar"/>
        </w:rPr>
        <w:t>,</w:t>
      </w:r>
      <w:r w:rsidRPr="003E786C">
        <w:rPr>
          <w:rStyle w:val="ListParagraphChar"/>
        </w:rPr>
        <w:t xml:space="preserve"> </w:t>
      </w:r>
      <w:r w:rsidR="0069158F" w:rsidRPr="003E786C">
        <w:rPr>
          <w:rStyle w:val="ListParagraphChar"/>
        </w:rPr>
        <w:t>more so</w:t>
      </w:r>
      <w:r w:rsidRPr="003E786C">
        <w:rPr>
          <w:rStyle w:val="ListParagraphChar"/>
        </w:rPr>
        <w:t xml:space="preserve"> on the loans given on developments, since loans to the </w:t>
      </w:r>
      <w:r w:rsidR="0069158F" w:rsidRPr="003E786C">
        <w:rPr>
          <w:rStyle w:val="ListParagraphChar"/>
        </w:rPr>
        <w:t>investment</w:t>
      </w:r>
      <w:r w:rsidRPr="003E786C">
        <w:rPr>
          <w:rStyle w:val="ListParagraphChar"/>
        </w:rPr>
        <w:t xml:space="preserve"> company are to a large extent covered by the value of properties (currently specifically from Barton) that the loan is given for.</w:t>
      </w:r>
      <w:r w:rsidRPr="70BFB7CE">
        <w:rPr>
          <w:rStyle w:val="ListParagraphChar"/>
        </w:rPr>
        <w:t xml:space="preserve"> The loan to asset for the investment company </w:t>
      </w:r>
      <w:r w:rsidR="00794125" w:rsidRPr="70BFB7CE">
        <w:rPr>
          <w:rStyle w:val="ListParagraphChar"/>
        </w:rPr>
        <w:t xml:space="preserve">is </w:t>
      </w:r>
      <w:r w:rsidRPr="70BFB7CE">
        <w:rPr>
          <w:rStyle w:val="ListParagraphChar"/>
        </w:rPr>
        <w:t xml:space="preserve">currently running at </w:t>
      </w:r>
      <w:r w:rsidR="0069158F" w:rsidRPr="70BFB7CE">
        <w:rPr>
          <w:rStyle w:val="ListParagraphChar"/>
        </w:rPr>
        <w:t>around</w:t>
      </w:r>
      <w:r w:rsidR="00E71434" w:rsidRPr="70BFB7CE">
        <w:rPr>
          <w:rStyle w:val="ListParagraphChar"/>
        </w:rPr>
        <w:t xml:space="preserve"> </w:t>
      </w:r>
      <w:r w:rsidR="0028144C" w:rsidRPr="70BFB7CE">
        <w:rPr>
          <w:rStyle w:val="ListParagraphChar"/>
        </w:rPr>
        <w:t xml:space="preserve">91.9%. </w:t>
      </w:r>
      <w:r w:rsidRPr="70BFB7CE">
        <w:rPr>
          <w:rStyle w:val="ListParagraphChar"/>
        </w:rPr>
        <w:t xml:space="preserve">In respect of the development company the risks are higher </w:t>
      </w:r>
      <w:r w:rsidR="0069158F" w:rsidRPr="70BFB7CE">
        <w:rPr>
          <w:rStyle w:val="ListParagraphChar"/>
        </w:rPr>
        <w:t>especially</w:t>
      </w:r>
      <w:r w:rsidRPr="70BFB7CE">
        <w:rPr>
          <w:rStyle w:val="ListParagraphChar"/>
        </w:rPr>
        <w:t xml:space="preserve"> in the days before the company achieved profitability, which has only just occurred. Covenants which control the </w:t>
      </w:r>
      <w:r w:rsidR="0069158F" w:rsidRPr="70BFB7CE">
        <w:rPr>
          <w:rStyle w:val="ListParagraphChar"/>
        </w:rPr>
        <w:t>amount</w:t>
      </w:r>
      <w:r w:rsidRPr="70BFB7CE">
        <w:rPr>
          <w:rStyle w:val="ListParagraphChar"/>
        </w:rPr>
        <w:t xml:space="preserve"> of borrowing by the company such as interest cover ratio</w:t>
      </w:r>
      <w:r w:rsidR="00EF387D" w:rsidRPr="70BFB7CE">
        <w:rPr>
          <w:rStyle w:val="ListParagraphChar"/>
        </w:rPr>
        <w:t xml:space="preserve">, asset cover and profitability </w:t>
      </w:r>
      <w:r w:rsidRPr="70BFB7CE">
        <w:rPr>
          <w:rStyle w:val="ListParagraphChar"/>
        </w:rPr>
        <w:t xml:space="preserve">are being discussed with the company but are yet to be agreed. </w:t>
      </w:r>
    </w:p>
    <w:p w14:paraId="5696A6F0" w14:textId="31D63E67" w:rsidR="00151F0F" w:rsidRDefault="00151F0F" w:rsidP="008B1476">
      <w:pPr>
        <w:pStyle w:val="ListParagraph"/>
        <w:numPr>
          <w:ilvl w:val="0"/>
          <w:numId w:val="0"/>
        </w:numPr>
        <w:ind w:left="720"/>
        <w:jc w:val="both"/>
        <w:rPr>
          <w:rStyle w:val="ListParagraphChar"/>
        </w:rPr>
      </w:pPr>
      <w:r w:rsidRPr="0069158F">
        <w:rPr>
          <w:rStyle w:val="ListParagraphChar"/>
        </w:rPr>
        <w:t xml:space="preserve">Other schemes for which borrowing </w:t>
      </w:r>
      <w:r w:rsidR="0069158F" w:rsidRPr="0069158F">
        <w:rPr>
          <w:rStyle w:val="ListParagraphChar"/>
        </w:rPr>
        <w:t xml:space="preserve">has been </w:t>
      </w:r>
      <w:r w:rsidR="00F6541B">
        <w:rPr>
          <w:rStyle w:val="ListParagraphChar"/>
        </w:rPr>
        <w:t xml:space="preserve">used </w:t>
      </w:r>
      <w:r w:rsidR="008D56A5">
        <w:rPr>
          <w:rStyle w:val="ListParagraphChar"/>
        </w:rPr>
        <w:t>as</w:t>
      </w:r>
      <w:r w:rsidR="00F6541B">
        <w:rPr>
          <w:rStyle w:val="ListParagraphChar"/>
        </w:rPr>
        <w:t xml:space="preserve"> finance</w:t>
      </w:r>
      <w:r w:rsidR="0069158F" w:rsidRPr="0069158F">
        <w:rPr>
          <w:rStyle w:val="ListParagraphChar"/>
        </w:rPr>
        <w:t xml:space="preserve"> include </w:t>
      </w:r>
      <w:proofErr w:type="spellStart"/>
      <w:r w:rsidR="0069158F" w:rsidRPr="0069158F">
        <w:rPr>
          <w:rStyle w:val="ListParagraphChar"/>
        </w:rPr>
        <w:t>Oxwed</w:t>
      </w:r>
      <w:proofErr w:type="spellEnd"/>
      <w:r w:rsidR="0069158F" w:rsidRPr="0069158F">
        <w:rPr>
          <w:rStyle w:val="ListParagraphChar"/>
        </w:rPr>
        <w:t xml:space="preserve"> (£</w:t>
      </w:r>
      <w:r w:rsidR="004B1BE9">
        <w:rPr>
          <w:rStyle w:val="ListParagraphChar"/>
        </w:rPr>
        <w:t>6.5</w:t>
      </w:r>
      <w:r w:rsidR="004B1BE9" w:rsidRPr="0069158F">
        <w:rPr>
          <w:rStyle w:val="ListParagraphChar"/>
        </w:rPr>
        <w:t xml:space="preserve"> </w:t>
      </w:r>
      <w:r w:rsidR="0069158F" w:rsidRPr="0069158F">
        <w:rPr>
          <w:rStyle w:val="ListParagraphChar"/>
        </w:rPr>
        <w:t>million</w:t>
      </w:r>
      <w:r w:rsidR="00D42F25">
        <w:rPr>
          <w:rStyle w:val="ListParagraphChar"/>
        </w:rPr>
        <w:t xml:space="preserve"> of the £13 million of loans given to date</w:t>
      </w:r>
      <w:r w:rsidR="0069158F" w:rsidRPr="0069158F">
        <w:rPr>
          <w:rStyle w:val="ListParagraphChar"/>
        </w:rPr>
        <w:t>)</w:t>
      </w:r>
      <w:r w:rsidR="00EF387D">
        <w:rPr>
          <w:rStyle w:val="ListParagraphChar"/>
        </w:rPr>
        <w:t>. T</w:t>
      </w:r>
      <w:r w:rsidR="0069158F" w:rsidRPr="0069158F">
        <w:rPr>
          <w:rStyle w:val="ListParagraphChar"/>
        </w:rPr>
        <w:t xml:space="preserve">he </w:t>
      </w:r>
      <w:r w:rsidR="00EF387D">
        <w:rPr>
          <w:rStyle w:val="ListParagraphChar"/>
        </w:rPr>
        <w:t>scheme</w:t>
      </w:r>
      <w:r w:rsidR="0069158F" w:rsidRPr="0069158F">
        <w:rPr>
          <w:rStyle w:val="ListParagraphChar"/>
        </w:rPr>
        <w:t xml:space="preserve"> is currently being </w:t>
      </w:r>
      <w:r w:rsidR="00EF387D">
        <w:rPr>
          <w:rStyle w:val="ListParagraphChar"/>
        </w:rPr>
        <w:t>prepared</w:t>
      </w:r>
      <w:r w:rsidR="0069158F" w:rsidRPr="0069158F">
        <w:rPr>
          <w:rStyle w:val="ListParagraphChar"/>
        </w:rPr>
        <w:t xml:space="preserve"> planning </w:t>
      </w:r>
      <w:r w:rsidR="00EF387D">
        <w:rPr>
          <w:rStyle w:val="ListParagraphChar"/>
        </w:rPr>
        <w:t>approval</w:t>
      </w:r>
      <w:r w:rsidR="0069158F" w:rsidRPr="0069158F">
        <w:rPr>
          <w:rStyle w:val="ListParagraphChar"/>
        </w:rPr>
        <w:t xml:space="preserve"> and although there is still a way to go it should deliver a healthy surplus back to the Council and its partner Nuffield College. </w:t>
      </w:r>
      <w:r w:rsidR="008565C3">
        <w:rPr>
          <w:rStyle w:val="ListParagraphChar"/>
        </w:rPr>
        <w:t>R</w:t>
      </w:r>
      <w:r w:rsidR="0069158F" w:rsidRPr="0069158F">
        <w:rPr>
          <w:rStyle w:val="ListParagraphChar"/>
        </w:rPr>
        <w:t xml:space="preserve">ecently plans </w:t>
      </w:r>
      <w:r w:rsidR="008565C3">
        <w:rPr>
          <w:rStyle w:val="ListParagraphChar"/>
        </w:rPr>
        <w:t xml:space="preserve">have been </w:t>
      </w:r>
      <w:r w:rsidR="0069158F" w:rsidRPr="0069158F">
        <w:rPr>
          <w:rStyle w:val="ListParagraphChar"/>
        </w:rPr>
        <w:t xml:space="preserve">approved by Council to develop the Odeon site </w:t>
      </w:r>
      <w:r w:rsidR="00EF387D">
        <w:rPr>
          <w:rStyle w:val="ListParagraphChar"/>
        </w:rPr>
        <w:t xml:space="preserve">which </w:t>
      </w:r>
      <w:r w:rsidR="0069158F" w:rsidRPr="0069158F">
        <w:rPr>
          <w:rStyle w:val="ListParagraphChar"/>
        </w:rPr>
        <w:t>will also be financed by borrowing and although the</w:t>
      </w:r>
      <w:r w:rsidRPr="0069158F">
        <w:rPr>
          <w:rStyle w:val="ListParagraphChar"/>
        </w:rPr>
        <w:t xml:space="preserve"> ‘heavy lifting’ of the scheme wil</w:t>
      </w:r>
      <w:r w:rsidR="0069158F" w:rsidRPr="0069158F">
        <w:rPr>
          <w:rStyle w:val="ListParagraphChar"/>
        </w:rPr>
        <w:t>l</w:t>
      </w:r>
      <w:r w:rsidRPr="0069158F">
        <w:rPr>
          <w:rStyle w:val="ListParagraphChar"/>
        </w:rPr>
        <w:t xml:space="preserve"> be undertaken by a development partner</w:t>
      </w:r>
      <w:r w:rsidR="00EF387D">
        <w:rPr>
          <w:rStyle w:val="ListParagraphChar"/>
        </w:rPr>
        <w:t>,</w:t>
      </w:r>
      <w:r w:rsidR="0069158F" w:rsidRPr="0069158F">
        <w:rPr>
          <w:rStyle w:val="ListParagraphChar"/>
        </w:rPr>
        <w:t xml:space="preserve"> this will bring with it development risk</w:t>
      </w:r>
      <w:r w:rsidR="00EF387D">
        <w:rPr>
          <w:rStyle w:val="ListParagraphChar"/>
        </w:rPr>
        <w:t>,</w:t>
      </w:r>
      <w:r w:rsidR="0069158F" w:rsidRPr="0069158F">
        <w:rPr>
          <w:rStyle w:val="ListParagraphChar"/>
        </w:rPr>
        <w:t xml:space="preserve"> </w:t>
      </w:r>
      <w:r w:rsidR="00794125">
        <w:rPr>
          <w:rStyle w:val="ListParagraphChar"/>
        </w:rPr>
        <w:t>which is</w:t>
      </w:r>
      <w:r w:rsidR="008565C3">
        <w:rPr>
          <w:rStyle w:val="ListParagraphChar"/>
        </w:rPr>
        <w:t xml:space="preserve"> balanced against the delivery of </w:t>
      </w:r>
      <w:r w:rsidR="00EC3254">
        <w:rPr>
          <w:rStyle w:val="ListParagraphChar"/>
        </w:rPr>
        <w:t xml:space="preserve">a </w:t>
      </w:r>
      <w:r w:rsidR="00EC3254" w:rsidRPr="0069158F">
        <w:rPr>
          <w:rStyle w:val="ListParagraphChar"/>
        </w:rPr>
        <w:t>regenerated</w:t>
      </w:r>
      <w:r w:rsidR="0069158F" w:rsidRPr="0069158F">
        <w:rPr>
          <w:rStyle w:val="ListParagraphChar"/>
        </w:rPr>
        <w:t xml:space="preserve"> area of land</w:t>
      </w:r>
      <w:r w:rsidR="008565C3">
        <w:rPr>
          <w:rStyle w:val="ListParagraphChar"/>
        </w:rPr>
        <w:t xml:space="preserve"> within the city centre</w:t>
      </w:r>
      <w:r w:rsidR="0069158F" w:rsidRPr="0069158F">
        <w:rPr>
          <w:rStyle w:val="ListParagraphChar"/>
        </w:rPr>
        <w:t>.</w:t>
      </w:r>
      <w:r w:rsidRPr="0069158F">
        <w:rPr>
          <w:rStyle w:val="ListParagraphChar"/>
        </w:rPr>
        <w:t xml:space="preserve"> </w:t>
      </w:r>
    </w:p>
    <w:p w14:paraId="028F782F" w14:textId="0442EE03" w:rsidR="0069158F" w:rsidRPr="003E786C" w:rsidRDefault="00EF387D" w:rsidP="70BFB7CE">
      <w:pPr>
        <w:pStyle w:val="ListParagraph"/>
        <w:numPr>
          <w:ilvl w:val="0"/>
          <w:numId w:val="0"/>
        </w:numPr>
        <w:ind w:left="720"/>
        <w:jc w:val="both"/>
        <w:rPr>
          <w:rStyle w:val="ListParagraphChar"/>
        </w:rPr>
      </w:pPr>
      <w:r w:rsidRPr="003E786C">
        <w:rPr>
          <w:rStyle w:val="ListParagraphChar"/>
        </w:rPr>
        <w:t>I</w:t>
      </w:r>
      <w:r w:rsidR="0069158F" w:rsidRPr="003E786C">
        <w:rPr>
          <w:rStyle w:val="ListParagraphChar"/>
        </w:rPr>
        <w:t>n all these scheme</w:t>
      </w:r>
      <w:r w:rsidR="008565C3" w:rsidRPr="003E786C">
        <w:rPr>
          <w:rStyle w:val="ListParagraphChar"/>
        </w:rPr>
        <w:t>s</w:t>
      </w:r>
      <w:r w:rsidR="0069158F" w:rsidRPr="003E786C">
        <w:rPr>
          <w:rStyle w:val="ListParagraphChar"/>
        </w:rPr>
        <w:t xml:space="preserve"> the Council relies on the experience and professionalism of the team within both the </w:t>
      </w:r>
      <w:r w:rsidR="008565C3" w:rsidRPr="003E786C">
        <w:rPr>
          <w:rStyle w:val="ListParagraphChar"/>
        </w:rPr>
        <w:t xml:space="preserve">Housing </w:t>
      </w:r>
      <w:r w:rsidR="0069158F" w:rsidRPr="003E786C">
        <w:rPr>
          <w:rStyle w:val="ListParagraphChar"/>
        </w:rPr>
        <w:t>Company and the Council to deliver the schemes which enables the repayment of the loans. The risk will never be removed given that this is development</w:t>
      </w:r>
      <w:r w:rsidRPr="003E786C">
        <w:rPr>
          <w:rStyle w:val="ListParagraphChar"/>
        </w:rPr>
        <w:t>,</w:t>
      </w:r>
      <w:r w:rsidR="0069158F" w:rsidRPr="003E786C">
        <w:rPr>
          <w:rStyle w:val="ListParagraphChar"/>
        </w:rPr>
        <w:t xml:space="preserve"> but it may be mitigated by monitoring and oversight which is undertaken by both officers and shareholders.</w:t>
      </w:r>
      <w:r w:rsidR="0069158F" w:rsidRPr="70BFB7CE">
        <w:rPr>
          <w:rStyle w:val="ListParagraphChar"/>
        </w:rPr>
        <w:t xml:space="preserve">  </w:t>
      </w:r>
    </w:p>
    <w:p w14:paraId="5D4DB531" w14:textId="6B89BBB4" w:rsidR="00095858" w:rsidRPr="00F12277" w:rsidRDefault="00095858" w:rsidP="008B1476">
      <w:pPr>
        <w:pStyle w:val="ListParagraph"/>
        <w:numPr>
          <w:ilvl w:val="0"/>
          <w:numId w:val="15"/>
        </w:numPr>
        <w:jc w:val="both"/>
        <w:rPr>
          <w:rStyle w:val="ListParagraphChar"/>
          <w:b/>
          <w:u w:val="single"/>
        </w:rPr>
      </w:pPr>
      <w:r w:rsidRPr="00F12277">
        <w:rPr>
          <w:rStyle w:val="ListParagraphChar"/>
          <w:b/>
          <w:u w:val="single"/>
        </w:rPr>
        <w:t>Minimum Revenue Provision Calculation</w:t>
      </w:r>
    </w:p>
    <w:p w14:paraId="45FC2200" w14:textId="06A0BFFE" w:rsidR="00507E93" w:rsidRPr="00507E93" w:rsidRDefault="00507E93" w:rsidP="008B1476">
      <w:pPr>
        <w:pStyle w:val="ListParagraph"/>
        <w:numPr>
          <w:ilvl w:val="0"/>
          <w:numId w:val="0"/>
        </w:numPr>
        <w:ind w:left="720"/>
        <w:jc w:val="both"/>
        <w:rPr>
          <w:rStyle w:val="ListParagraphChar"/>
        </w:rPr>
      </w:pPr>
      <w:r w:rsidRPr="70BFB7CE">
        <w:rPr>
          <w:rStyle w:val="ListParagraphChar"/>
        </w:rPr>
        <w:t xml:space="preserve">Minimum Revenue Provision </w:t>
      </w:r>
      <w:r w:rsidR="004F3C63" w:rsidRPr="70BFB7CE">
        <w:rPr>
          <w:rStyle w:val="ListParagraphChar"/>
        </w:rPr>
        <w:t xml:space="preserve">(MRP) </w:t>
      </w:r>
      <w:r w:rsidRPr="70BFB7CE">
        <w:rPr>
          <w:rStyle w:val="ListParagraphChar"/>
        </w:rPr>
        <w:t xml:space="preserve">is the accounting term used to describe the method by which local </w:t>
      </w:r>
      <w:r w:rsidR="0069158F" w:rsidRPr="70BFB7CE">
        <w:rPr>
          <w:rStyle w:val="ListParagraphChar"/>
        </w:rPr>
        <w:t>authorities</w:t>
      </w:r>
      <w:r w:rsidRPr="70BFB7CE">
        <w:rPr>
          <w:rStyle w:val="ListParagraphChar"/>
        </w:rPr>
        <w:t xml:space="preserve"> charge their revenue accounts over time</w:t>
      </w:r>
      <w:r w:rsidR="008565C3" w:rsidRPr="70BFB7CE">
        <w:rPr>
          <w:rStyle w:val="ListParagraphChar"/>
        </w:rPr>
        <w:t>,</w:t>
      </w:r>
      <w:r w:rsidRPr="70BFB7CE">
        <w:rPr>
          <w:rStyle w:val="ListParagraphChar"/>
        </w:rPr>
        <w:t xml:space="preserve"> with the cost of their capital expenditure which is funded by borrowing (be</w:t>
      </w:r>
      <w:r w:rsidR="0069158F" w:rsidRPr="70BFB7CE">
        <w:rPr>
          <w:rStyle w:val="ListParagraphChar"/>
        </w:rPr>
        <w:t xml:space="preserve"> </w:t>
      </w:r>
      <w:r w:rsidRPr="70BFB7CE">
        <w:rPr>
          <w:rStyle w:val="ListParagraphChar"/>
        </w:rPr>
        <w:t xml:space="preserve">it internal borrowing from reserves and balances or external borrowing from the </w:t>
      </w:r>
      <w:r w:rsidR="008565C3" w:rsidRPr="70BFB7CE">
        <w:rPr>
          <w:rStyle w:val="ListParagraphChar"/>
        </w:rPr>
        <w:t>P</w:t>
      </w:r>
      <w:r w:rsidRPr="70BFB7CE">
        <w:rPr>
          <w:rStyle w:val="ListParagraphChar"/>
        </w:rPr>
        <w:t xml:space="preserve">ublic </w:t>
      </w:r>
      <w:r w:rsidR="008565C3" w:rsidRPr="70BFB7CE">
        <w:rPr>
          <w:rStyle w:val="ListParagraphChar"/>
        </w:rPr>
        <w:t>W</w:t>
      </w:r>
      <w:r w:rsidRPr="70BFB7CE">
        <w:rPr>
          <w:rStyle w:val="ListParagraphChar"/>
        </w:rPr>
        <w:t xml:space="preserve">orks </w:t>
      </w:r>
      <w:r w:rsidR="008565C3" w:rsidRPr="70BFB7CE">
        <w:rPr>
          <w:rStyle w:val="ListParagraphChar"/>
        </w:rPr>
        <w:t>L</w:t>
      </w:r>
      <w:r w:rsidRPr="70BFB7CE">
        <w:rPr>
          <w:rStyle w:val="ListParagraphChar"/>
        </w:rPr>
        <w:t xml:space="preserve">oans </w:t>
      </w:r>
      <w:r w:rsidR="008565C3" w:rsidRPr="70BFB7CE">
        <w:rPr>
          <w:rStyle w:val="ListParagraphChar"/>
        </w:rPr>
        <w:t>B</w:t>
      </w:r>
      <w:r w:rsidRPr="70BFB7CE">
        <w:rPr>
          <w:rStyle w:val="ListParagraphChar"/>
        </w:rPr>
        <w:t>oard</w:t>
      </w:r>
      <w:r w:rsidR="00EC3254" w:rsidRPr="70BFB7CE">
        <w:rPr>
          <w:rStyle w:val="ListParagraphChar"/>
        </w:rPr>
        <w:t xml:space="preserve"> </w:t>
      </w:r>
      <w:r w:rsidR="008565C3" w:rsidRPr="70BFB7CE">
        <w:rPr>
          <w:rStyle w:val="ListParagraphChar"/>
        </w:rPr>
        <w:t>(PWLB)</w:t>
      </w:r>
      <w:r w:rsidRPr="70BFB7CE">
        <w:rPr>
          <w:rStyle w:val="ListParagraphChar"/>
        </w:rPr>
        <w:t xml:space="preserve">. Generally the borrowing is charged over the useful life of the asset that is financed, so a property </w:t>
      </w:r>
      <w:r w:rsidR="00113966" w:rsidRPr="70BFB7CE">
        <w:rPr>
          <w:rStyle w:val="ListParagraphChar"/>
        </w:rPr>
        <w:t xml:space="preserve">purchase </w:t>
      </w:r>
      <w:r w:rsidRPr="70BFB7CE">
        <w:rPr>
          <w:rStyle w:val="ListParagraphChar"/>
        </w:rPr>
        <w:t xml:space="preserve">may for instance be charged over 50 years. The requirement to undertake this calculation is a </w:t>
      </w:r>
      <w:r w:rsidR="0069158F" w:rsidRPr="70BFB7CE">
        <w:rPr>
          <w:rStyle w:val="ListParagraphChar"/>
        </w:rPr>
        <w:t>requirement</w:t>
      </w:r>
      <w:r w:rsidRPr="70BFB7CE">
        <w:rPr>
          <w:rStyle w:val="ListParagraphChar"/>
        </w:rPr>
        <w:t xml:space="preserve"> </w:t>
      </w:r>
      <w:r w:rsidR="00774B7C" w:rsidRPr="70BFB7CE">
        <w:rPr>
          <w:rStyle w:val="ListParagraphChar"/>
        </w:rPr>
        <w:t xml:space="preserve">of </w:t>
      </w:r>
      <w:r w:rsidRPr="70BFB7CE">
        <w:rPr>
          <w:rStyle w:val="ListParagraphChar"/>
        </w:rPr>
        <w:t>the CIPFA Accounting Code of Practice</w:t>
      </w:r>
      <w:r w:rsidR="00774B7C" w:rsidRPr="70BFB7CE">
        <w:rPr>
          <w:rStyle w:val="ListParagraphChar"/>
        </w:rPr>
        <w:t xml:space="preserve"> and also the Government</w:t>
      </w:r>
      <w:r w:rsidR="00FB15E5" w:rsidRPr="70BFB7CE">
        <w:rPr>
          <w:rStyle w:val="ListParagraphChar"/>
        </w:rPr>
        <w:t xml:space="preserve">’s </w:t>
      </w:r>
      <w:r w:rsidR="00F8248F" w:rsidRPr="70BFB7CE">
        <w:rPr>
          <w:rStyle w:val="ListParagraphChar"/>
        </w:rPr>
        <w:t xml:space="preserve">Statutory Guidance On Minimum Revenue Provision (made in accordance with </w:t>
      </w:r>
      <w:r w:rsidR="00F90BF8" w:rsidRPr="70BFB7CE">
        <w:rPr>
          <w:rStyle w:val="ListParagraphChar"/>
        </w:rPr>
        <w:t>section 21(1A) of the Local Government Act 2003</w:t>
      </w:r>
      <w:r w:rsidRPr="70BFB7CE">
        <w:rPr>
          <w:rStyle w:val="ListParagraphChar"/>
        </w:rPr>
        <w:t>. T</w:t>
      </w:r>
      <w:r w:rsidRPr="003E786C">
        <w:rPr>
          <w:rStyle w:val="ListParagraphChar"/>
        </w:rPr>
        <w:t xml:space="preserve">he Finance Team </w:t>
      </w:r>
      <w:r w:rsidR="00D50583" w:rsidRPr="003E786C">
        <w:rPr>
          <w:rStyle w:val="ListParagraphChar"/>
        </w:rPr>
        <w:t xml:space="preserve">are diligent in ensuring that the correct </w:t>
      </w:r>
      <w:r w:rsidR="00084C71" w:rsidRPr="003E786C">
        <w:rPr>
          <w:rStyle w:val="ListParagraphChar"/>
        </w:rPr>
        <w:t xml:space="preserve">calculation is applied and is used in capital scheme appraisals.  This </w:t>
      </w:r>
      <w:r w:rsidR="0032268D" w:rsidRPr="003E786C">
        <w:rPr>
          <w:rStyle w:val="ListParagraphChar"/>
        </w:rPr>
        <w:t xml:space="preserve">often leads to tensions </w:t>
      </w:r>
      <w:r w:rsidR="00715E38" w:rsidRPr="003E786C">
        <w:rPr>
          <w:rStyle w:val="ListParagraphChar"/>
        </w:rPr>
        <w:t xml:space="preserve">internally </w:t>
      </w:r>
      <w:r w:rsidR="0032268D" w:rsidRPr="003E786C">
        <w:rPr>
          <w:rStyle w:val="ListParagraphChar"/>
        </w:rPr>
        <w:t xml:space="preserve">because it can affect the viability </w:t>
      </w:r>
      <w:r w:rsidR="003B6EA0" w:rsidRPr="003E786C">
        <w:rPr>
          <w:rStyle w:val="ListParagraphChar"/>
        </w:rPr>
        <w:t xml:space="preserve">calculations </w:t>
      </w:r>
      <w:r w:rsidR="00205F79" w:rsidRPr="003E786C">
        <w:rPr>
          <w:rStyle w:val="ListParagraphChar"/>
        </w:rPr>
        <w:t>and therefore the affordability of schemes</w:t>
      </w:r>
      <w:r w:rsidR="00DA7780" w:rsidRPr="003E786C">
        <w:rPr>
          <w:rStyle w:val="ListParagraphChar"/>
        </w:rPr>
        <w:t xml:space="preserve"> sin</w:t>
      </w:r>
      <w:r w:rsidR="004F3C63" w:rsidRPr="003E786C">
        <w:rPr>
          <w:rStyle w:val="ListParagraphChar"/>
        </w:rPr>
        <w:t>c</w:t>
      </w:r>
      <w:r w:rsidR="00DA7780" w:rsidRPr="003E786C">
        <w:rPr>
          <w:rStyle w:val="ListParagraphChar"/>
        </w:rPr>
        <w:t>e it increases the costs of a project</w:t>
      </w:r>
      <w:r w:rsidR="00205F79" w:rsidRPr="003E786C">
        <w:rPr>
          <w:rStyle w:val="ListParagraphChar"/>
        </w:rPr>
        <w:t>.</w:t>
      </w:r>
      <w:r w:rsidR="00205F79" w:rsidRPr="70BFB7CE">
        <w:rPr>
          <w:rStyle w:val="ListParagraphChar"/>
        </w:rPr>
        <w:t xml:space="preserve">  </w:t>
      </w:r>
      <w:r w:rsidR="004F3C63" w:rsidRPr="70BFB7CE">
        <w:rPr>
          <w:rStyle w:val="ListParagraphChar"/>
        </w:rPr>
        <w:t xml:space="preserve">It is right and proper to include MRP in </w:t>
      </w:r>
      <w:r w:rsidR="00F659DE" w:rsidRPr="70BFB7CE">
        <w:rPr>
          <w:rStyle w:val="ListParagraphChar"/>
        </w:rPr>
        <w:t xml:space="preserve">capital scheme appraisals since it is a cost which </w:t>
      </w:r>
      <w:r w:rsidR="003966C2" w:rsidRPr="70BFB7CE">
        <w:rPr>
          <w:rStyle w:val="ListParagraphChar"/>
        </w:rPr>
        <w:t>will impact the Council’s revenue account if the project in question is completed</w:t>
      </w:r>
      <w:r w:rsidR="003A3951" w:rsidRPr="70BFB7CE">
        <w:rPr>
          <w:rStyle w:val="ListParagraphChar"/>
        </w:rPr>
        <w:t xml:space="preserve">.  </w:t>
      </w:r>
      <w:r w:rsidRPr="70BFB7CE">
        <w:rPr>
          <w:rStyle w:val="ListParagraphChar"/>
        </w:rPr>
        <w:t xml:space="preserve">It is surprising to see the number of authorities in appendix </w:t>
      </w:r>
      <w:r w:rsidRPr="70BFB7CE">
        <w:rPr>
          <w:rStyle w:val="ListParagraphChar"/>
        </w:rPr>
        <w:lastRenderedPageBreak/>
        <w:t xml:space="preserve">A that do not apply this correctly and </w:t>
      </w:r>
      <w:r w:rsidR="00EF387D" w:rsidRPr="70BFB7CE">
        <w:rPr>
          <w:rStyle w:val="ListParagraphChar"/>
        </w:rPr>
        <w:t xml:space="preserve">this </w:t>
      </w:r>
      <w:r w:rsidRPr="70BFB7CE">
        <w:rPr>
          <w:rStyle w:val="ListParagraphChar"/>
        </w:rPr>
        <w:t xml:space="preserve">is often the subject of an </w:t>
      </w:r>
      <w:r w:rsidR="00F627CE" w:rsidRPr="70BFB7CE">
        <w:rPr>
          <w:rStyle w:val="ListParagraphChar"/>
        </w:rPr>
        <w:t>auditor’s</w:t>
      </w:r>
      <w:r w:rsidRPr="70BFB7CE">
        <w:rPr>
          <w:rStyle w:val="ListParagraphChar"/>
        </w:rPr>
        <w:t xml:space="preserve"> </w:t>
      </w:r>
      <w:r w:rsidR="0069158F" w:rsidRPr="70BFB7CE">
        <w:rPr>
          <w:rStyle w:val="ListParagraphChar"/>
        </w:rPr>
        <w:t>scrutiny</w:t>
      </w:r>
      <w:r w:rsidRPr="70BFB7CE">
        <w:rPr>
          <w:rStyle w:val="ListParagraphChar"/>
        </w:rPr>
        <w:t xml:space="preserve">.   </w:t>
      </w:r>
    </w:p>
    <w:p w14:paraId="48F9E7FE" w14:textId="17868A30" w:rsidR="00095858" w:rsidRPr="00442773" w:rsidRDefault="0082437C" w:rsidP="00442773">
      <w:pPr>
        <w:pStyle w:val="ListParagraph"/>
        <w:numPr>
          <w:ilvl w:val="0"/>
          <w:numId w:val="15"/>
        </w:numPr>
        <w:jc w:val="both"/>
        <w:rPr>
          <w:rStyle w:val="ListParagraphChar"/>
          <w:b/>
          <w:u w:val="single"/>
        </w:rPr>
      </w:pPr>
      <w:r w:rsidRPr="00442773">
        <w:rPr>
          <w:rStyle w:val="ListParagraphChar"/>
          <w:b/>
          <w:u w:val="single"/>
        </w:rPr>
        <w:t xml:space="preserve">Unachieved </w:t>
      </w:r>
      <w:r w:rsidR="00743A99" w:rsidRPr="00442773">
        <w:rPr>
          <w:rStyle w:val="ListParagraphChar"/>
          <w:b/>
          <w:u w:val="single"/>
        </w:rPr>
        <w:t>Savings</w:t>
      </w:r>
      <w:r w:rsidR="001C2F9C" w:rsidRPr="00442773">
        <w:rPr>
          <w:rStyle w:val="ListParagraphChar"/>
          <w:b/>
          <w:u w:val="single"/>
        </w:rPr>
        <w:t xml:space="preserve"> </w:t>
      </w:r>
    </w:p>
    <w:p w14:paraId="3C9CCDCD" w14:textId="20E2BD23" w:rsidR="00743A99" w:rsidRPr="0069158F" w:rsidRDefault="00CB5148" w:rsidP="008B1476">
      <w:pPr>
        <w:pStyle w:val="ListParagraph"/>
        <w:numPr>
          <w:ilvl w:val="0"/>
          <w:numId w:val="0"/>
        </w:numPr>
        <w:ind w:left="720"/>
        <w:jc w:val="both"/>
        <w:rPr>
          <w:rStyle w:val="ListParagraphChar"/>
        </w:rPr>
      </w:pPr>
      <w:r w:rsidRPr="0069158F">
        <w:rPr>
          <w:rStyle w:val="ListParagraphChar"/>
        </w:rPr>
        <w:t xml:space="preserve">In previous years the council </w:t>
      </w:r>
      <w:r w:rsidR="00855EF0" w:rsidRPr="0069158F">
        <w:rPr>
          <w:rStyle w:val="ListParagraphChar"/>
        </w:rPr>
        <w:t>ha</w:t>
      </w:r>
      <w:r w:rsidR="00855EF0">
        <w:rPr>
          <w:rStyle w:val="ListParagraphChar"/>
        </w:rPr>
        <w:t>s</w:t>
      </w:r>
      <w:r w:rsidR="00855EF0" w:rsidRPr="0069158F">
        <w:rPr>
          <w:rStyle w:val="ListParagraphChar"/>
        </w:rPr>
        <w:t xml:space="preserve"> </w:t>
      </w:r>
      <w:r w:rsidRPr="0069158F">
        <w:rPr>
          <w:rStyle w:val="ListParagraphChar"/>
        </w:rPr>
        <w:t xml:space="preserve">had a good track record of delivering savings. Contingencies were held for any savings that the council has failed to achieve. As the financial backdrop gets more difficult savings targets have become more difficult to achieve. In 2022-23 for instance the council set itself a target of </w:t>
      </w:r>
      <w:r w:rsidR="00095D55">
        <w:rPr>
          <w:rStyle w:val="ListParagraphChar"/>
        </w:rPr>
        <w:t xml:space="preserve">£2.351 million achieved £2.301 million. In 2021-22 the council set a target </w:t>
      </w:r>
      <w:r w:rsidR="00985E5A">
        <w:rPr>
          <w:rStyle w:val="ListParagraphChar"/>
        </w:rPr>
        <w:t xml:space="preserve">of </w:t>
      </w:r>
      <w:r w:rsidR="00095D55">
        <w:rPr>
          <w:rStyle w:val="ListParagraphChar"/>
        </w:rPr>
        <w:t>£1.803 million and achieved the target.</w:t>
      </w:r>
    </w:p>
    <w:p w14:paraId="66991DEE" w14:textId="59F40058" w:rsidR="00CB5148" w:rsidRPr="0069158F" w:rsidRDefault="00CB5148" w:rsidP="008B1476">
      <w:pPr>
        <w:pStyle w:val="ListParagraph"/>
        <w:numPr>
          <w:ilvl w:val="0"/>
          <w:numId w:val="0"/>
        </w:numPr>
        <w:ind w:left="720"/>
        <w:jc w:val="both"/>
        <w:rPr>
          <w:rStyle w:val="ListParagraphChar"/>
        </w:rPr>
      </w:pPr>
      <w:r w:rsidRPr="0069158F">
        <w:rPr>
          <w:rStyle w:val="ListParagraphChar"/>
        </w:rPr>
        <w:t xml:space="preserve">In 2023-24 the target set was £1.993 million and current </w:t>
      </w:r>
      <w:r w:rsidR="00F627CE" w:rsidRPr="0069158F">
        <w:rPr>
          <w:rStyle w:val="ListParagraphChar"/>
        </w:rPr>
        <w:t>forecast</w:t>
      </w:r>
      <w:r w:rsidRPr="0069158F">
        <w:rPr>
          <w:rStyle w:val="ListParagraphChar"/>
        </w:rPr>
        <w:t xml:space="preserve"> is </w:t>
      </w:r>
      <w:r w:rsidR="00095D55">
        <w:rPr>
          <w:rStyle w:val="ListParagraphChar"/>
        </w:rPr>
        <w:t xml:space="preserve">that </w:t>
      </w:r>
      <w:r w:rsidRPr="0069158F">
        <w:rPr>
          <w:rStyle w:val="ListParagraphChar"/>
        </w:rPr>
        <w:t>only £</w:t>
      </w:r>
      <w:r w:rsidR="00095D55">
        <w:rPr>
          <w:rStyle w:val="ListParagraphChar"/>
        </w:rPr>
        <w:t xml:space="preserve">1.103 million </w:t>
      </w:r>
      <w:r w:rsidR="00095D55" w:rsidRPr="0069158F">
        <w:rPr>
          <w:rStyle w:val="ListParagraphChar"/>
        </w:rPr>
        <w:t>will</w:t>
      </w:r>
      <w:r w:rsidRPr="0069158F">
        <w:rPr>
          <w:rStyle w:val="ListParagraphChar"/>
        </w:rPr>
        <w:t xml:space="preserve"> be achieved. Reasons for variation include slippage on achieving </w:t>
      </w:r>
      <w:r w:rsidR="00507E93" w:rsidRPr="0069158F">
        <w:rPr>
          <w:rStyle w:val="ListParagraphChar"/>
        </w:rPr>
        <w:t>the re</w:t>
      </w:r>
      <w:r w:rsidR="00F627CE">
        <w:rPr>
          <w:rStyle w:val="ListParagraphChar"/>
        </w:rPr>
        <w:t>-</w:t>
      </w:r>
      <w:r w:rsidR="00507E93" w:rsidRPr="0069158F">
        <w:rPr>
          <w:rStyle w:val="ListParagraphChar"/>
        </w:rPr>
        <w:t>letting</w:t>
      </w:r>
      <w:r w:rsidR="00F627CE">
        <w:rPr>
          <w:rStyle w:val="ListParagraphChar"/>
        </w:rPr>
        <w:t xml:space="preserve"> </w:t>
      </w:r>
      <w:r w:rsidR="00507E93" w:rsidRPr="0069158F">
        <w:rPr>
          <w:rStyle w:val="ListParagraphChar"/>
        </w:rPr>
        <w:t>of St Aldates Chamber (£</w:t>
      </w:r>
      <w:r w:rsidR="00095D55">
        <w:rPr>
          <w:rStyle w:val="ListParagraphChar"/>
        </w:rPr>
        <w:t>641k</w:t>
      </w:r>
      <w:r w:rsidR="00507E93" w:rsidRPr="0069158F">
        <w:rPr>
          <w:rStyle w:val="ListParagraphChar"/>
        </w:rPr>
        <w:t>)</w:t>
      </w:r>
      <w:r w:rsidR="00095D55" w:rsidRPr="0069158F">
        <w:rPr>
          <w:rStyle w:val="ListParagraphChar"/>
        </w:rPr>
        <w:t>, Procurement</w:t>
      </w:r>
      <w:r w:rsidR="00507E93" w:rsidRPr="0069158F">
        <w:rPr>
          <w:rStyle w:val="ListParagraphChar"/>
        </w:rPr>
        <w:t xml:space="preserve"> Savings which has only achieved around £38k per annum against a target of £100k and </w:t>
      </w:r>
      <w:r w:rsidR="00095D55">
        <w:rPr>
          <w:rStyle w:val="ListParagraphChar"/>
        </w:rPr>
        <w:t>unachieved savings in staffing levels due to changes in the Customer Contact Centre.</w:t>
      </w:r>
    </w:p>
    <w:p w14:paraId="603528C5" w14:textId="17A78390" w:rsidR="00CB5148" w:rsidRPr="0069158F" w:rsidRDefault="00EF387D" w:rsidP="008B1476">
      <w:pPr>
        <w:pStyle w:val="ListParagraph"/>
        <w:numPr>
          <w:ilvl w:val="0"/>
          <w:numId w:val="0"/>
        </w:numPr>
        <w:ind w:left="720"/>
        <w:jc w:val="both"/>
        <w:rPr>
          <w:rStyle w:val="ListParagraphChar"/>
        </w:rPr>
      </w:pPr>
      <w:r>
        <w:rPr>
          <w:rStyle w:val="ListParagraphChar"/>
        </w:rPr>
        <w:t xml:space="preserve">The Organisational Change Board established by the Council will provide future scrutiny and oversight of benefits and cashable savings, although 100% achievement may be an overly optimistic achievement. </w:t>
      </w:r>
    </w:p>
    <w:p w14:paraId="32E66A3E" w14:textId="05532471" w:rsidR="00743A99" w:rsidRPr="00F12277" w:rsidRDefault="00743A99" w:rsidP="00442773">
      <w:pPr>
        <w:pStyle w:val="ListParagraph"/>
        <w:numPr>
          <w:ilvl w:val="0"/>
          <w:numId w:val="15"/>
        </w:numPr>
        <w:jc w:val="both"/>
        <w:rPr>
          <w:rStyle w:val="ListParagraphChar"/>
          <w:b/>
          <w:u w:val="single"/>
        </w:rPr>
      </w:pPr>
      <w:r w:rsidRPr="00F12277">
        <w:rPr>
          <w:rStyle w:val="ListParagraphChar"/>
          <w:b/>
          <w:u w:val="single"/>
        </w:rPr>
        <w:t>Risks associated with ongoing external audit of accounts</w:t>
      </w:r>
    </w:p>
    <w:p w14:paraId="32753354" w14:textId="5F9FABA7" w:rsidR="00743A99" w:rsidRPr="00EC3254" w:rsidRDefault="005F5586" w:rsidP="008B1476">
      <w:pPr>
        <w:pStyle w:val="ListParagraph"/>
        <w:numPr>
          <w:ilvl w:val="0"/>
          <w:numId w:val="0"/>
        </w:numPr>
        <w:ind w:left="720"/>
        <w:jc w:val="both"/>
        <w:rPr>
          <w:rStyle w:val="ListParagraphChar"/>
        </w:rPr>
      </w:pPr>
      <w:r w:rsidRPr="70BFB7CE">
        <w:rPr>
          <w:rStyle w:val="ListParagraphChar"/>
        </w:rPr>
        <w:t xml:space="preserve">Up until </w:t>
      </w:r>
      <w:r w:rsidR="00442D47" w:rsidRPr="70BFB7CE">
        <w:rPr>
          <w:rStyle w:val="ListParagraphChar"/>
        </w:rPr>
        <w:t>2021-22 the Council had a good track record of Statement of Accounts preparation. No qualification of the accounts had been made by the audi</w:t>
      </w:r>
      <w:r w:rsidR="00CB5148" w:rsidRPr="70BFB7CE">
        <w:rPr>
          <w:rStyle w:val="ListParagraphChar"/>
        </w:rPr>
        <w:t xml:space="preserve">tors in the last 10 years or so and their reports to the council generally praised the work of the Finance Team. </w:t>
      </w:r>
      <w:r w:rsidR="00442D47" w:rsidRPr="70BFB7CE">
        <w:rPr>
          <w:rStyle w:val="ListParagraphChar"/>
        </w:rPr>
        <w:t xml:space="preserve"> The problematic implementation of the Housing Management System has been well documented</w:t>
      </w:r>
      <w:r w:rsidR="00CB5148" w:rsidRPr="70BFB7CE">
        <w:rPr>
          <w:rStyle w:val="ListParagraphChar"/>
        </w:rPr>
        <w:t>,</w:t>
      </w:r>
      <w:r w:rsidR="00442D47" w:rsidRPr="70BFB7CE">
        <w:rPr>
          <w:rStyle w:val="ListParagraphChar"/>
        </w:rPr>
        <w:t xml:space="preserve"> with ‘steady state’ not be</w:t>
      </w:r>
      <w:r w:rsidR="00CB5148" w:rsidRPr="70BFB7CE">
        <w:rPr>
          <w:rStyle w:val="ListParagraphChar"/>
        </w:rPr>
        <w:t>i</w:t>
      </w:r>
      <w:r w:rsidR="00442D47" w:rsidRPr="70BFB7CE">
        <w:rPr>
          <w:rStyle w:val="ListParagraphChar"/>
        </w:rPr>
        <w:t>ng achieved until November 2022</w:t>
      </w:r>
      <w:r w:rsidR="00CB5148" w:rsidRPr="70BFB7CE">
        <w:rPr>
          <w:rStyle w:val="ListParagraphChar"/>
        </w:rPr>
        <w:t>,</w:t>
      </w:r>
      <w:r w:rsidR="00442D47" w:rsidRPr="70BFB7CE">
        <w:rPr>
          <w:rStyle w:val="ListParagraphChar"/>
        </w:rPr>
        <w:t xml:space="preserve"> following ‘go live’ in April 2021. This subseque</w:t>
      </w:r>
      <w:r w:rsidR="00CB5148" w:rsidRPr="70BFB7CE">
        <w:rPr>
          <w:rStyle w:val="ListParagraphChar"/>
        </w:rPr>
        <w:t>n</w:t>
      </w:r>
      <w:r w:rsidR="00442D47" w:rsidRPr="70BFB7CE">
        <w:rPr>
          <w:rStyle w:val="ListParagraphChar"/>
        </w:rPr>
        <w:t xml:space="preserve">t lack of financial information </w:t>
      </w:r>
      <w:r w:rsidR="00CB5148" w:rsidRPr="70BFB7CE">
        <w:rPr>
          <w:rStyle w:val="ListParagraphChar"/>
        </w:rPr>
        <w:t xml:space="preserve">has been a </w:t>
      </w:r>
      <w:r w:rsidR="00F627CE" w:rsidRPr="70BFB7CE">
        <w:rPr>
          <w:rStyle w:val="ListParagraphChar"/>
        </w:rPr>
        <w:t>setback</w:t>
      </w:r>
      <w:r w:rsidR="00CB5148" w:rsidRPr="70BFB7CE">
        <w:rPr>
          <w:rStyle w:val="ListParagraphChar"/>
        </w:rPr>
        <w:t xml:space="preserve">, </w:t>
      </w:r>
      <w:r w:rsidR="00442D47" w:rsidRPr="70BFB7CE">
        <w:rPr>
          <w:rStyle w:val="ListParagraphChar"/>
        </w:rPr>
        <w:t>result</w:t>
      </w:r>
      <w:r w:rsidR="00CB5148" w:rsidRPr="70BFB7CE">
        <w:rPr>
          <w:rStyle w:val="ListParagraphChar"/>
        </w:rPr>
        <w:t>ing</w:t>
      </w:r>
      <w:r w:rsidR="00442D47" w:rsidRPr="70BFB7CE">
        <w:rPr>
          <w:rStyle w:val="ListParagraphChar"/>
        </w:rPr>
        <w:t xml:space="preserve"> in a delay in the filing of the ODS </w:t>
      </w:r>
      <w:r w:rsidR="00D522C1" w:rsidRPr="70BFB7CE">
        <w:rPr>
          <w:rStyle w:val="ListParagraphChar"/>
        </w:rPr>
        <w:t xml:space="preserve">2021-22 </w:t>
      </w:r>
      <w:r w:rsidR="00442D47" w:rsidRPr="70BFB7CE">
        <w:rPr>
          <w:rStyle w:val="ListParagraphChar"/>
        </w:rPr>
        <w:t xml:space="preserve">company accounts at Companies House until </w:t>
      </w:r>
      <w:r w:rsidR="001558D0" w:rsidRPr="70BFB7CE">
        <w:rPr>
          <w:rStyle w:val="ListParagraphChar"/>
        </w:rPr>
        <w:t>15</w:t>
      </w:r>
      <w:r w:rsidR="001558D0" w:rsidRPr="70BFB7CE">
        <w:rPr>
          <w:rStyle w:val="ListParagraphChar"/>
          <w:vertAlign w:val="superscript"/>
        </w:rPr>
        <w:t>th</w:t>
      </w:r>
      <w:r w:rsidR="001558D0" w:rsidRPr="70BFB7CE">
        <w:rPr>
          <w:rStyle w:val="ListParagraphChar"/>
        </w:rPr>
        <w:t xml:space="preserve"> August 2023  </w:t>
      </w:r>
      <w:r w:rsidR="00442D47" w:rsidRPr="70BFB7CE">
        <w:rPr>
          <w:rStyle w:val="ListParagraphChar"/>
        </w:rPr>
        <w:t xml:space="preserve">and the 2022-23 </w:t>
      </w:r>
      <w:r w:rsidR="00CB5148" w:rsidRPr="70BFB7CE">
        <w:rPr>
          <w:rStyle w:val="ListParagraphChar"/>
        </w:rPr>
        <w:t xml:space="preserve">company accounts </w:t>
      </w:r>
      <w:r w:rsidR="00442D47" w:rsidRPr="70BFB7CE">
        <w:rPr>
          <w:rStyle w:val="ListParagraphChar"/>
        </w:rPr>
        <w:t xml:space="preserve">have yet to be signed off by the auditors. As a </w:t>
      </w:r>
      <w:r w:rsidR="005C3092" w:rsidRPr="70BFB7CE">
        <w:rPr>
          <w:rStyle w:val="ListParagraphChar"/>
        </w:rPr>
        <w:t>consequence</w:t>
      </w:r>
      <w:r w:rsidR="00442D47" w:rsidRPr="70BFB7CE">
        <w:rPr>
          <w:rStyle w:val="ListParagraphChar"/>
        </w:rPr>
        <w:t xml:space="preserve"> the Council have fall</w:t>
      </w:r>
      <w:r w:rsidR="00CB5148" w:rsidRPr="70BFB7CE">
        <w:rPr>
          <w:rStyle w:val="ListParagraphChar"/>
        </w:rPr>
        <w:t>en</w:t>
      </w:r>
      <w:r w:rsidR="00442D47" w:rsidRPr="70BFB7CE">
        <w:rPr>
          <w:rStyle w:val="ListParagraphChar"/>
        </w:rPr>
        <w:t xml:space="preserve"> behind with the </w:t>
      </w:r>
      <w:r w:rsidR="005C3092" w:rsidRPr="70BFB7CE">
        <w:rPr>
          <w:rStyle w:val="ListParagraphChar"/>
        </w:rPr>
        <w:t xml:space="preserve">preparation of its own </w:t>
      </w:r>
      <w:r w:rsidR="00CB5148" w:rsidRPr="70BFB7CE">
        <w:rPr>
          <w:rStyle w:val="ListParagraphChar"/>
        </w:rPr>
        <w:t xml:space="preserve">Group </w:t>
      </w:r>
      <w:r w:rsidR="005C3092" w:rsidRPr="70BFB7CE">
        <w:rPr>
          <w:rStyle w:val="ListParagraphChar"/>
        </w:rPr>
        <w:t xml:space="preserve">accounts for 2021-22 and </w:t>
      </w:r>
      <w:r w:rsidR="001558D0" w:rsidRPr="70BFB7CE">
        <w:rPr>
          <w:rStyle w:val="ListParagraphChar"/>
        </w:rPr>
        <w:t>single entity and G</w:t>
      </w:r>
      <w:r w:rsidR="009349FC" w:rsidRPr="70BFB7CE">
        <w:rPr>
          <w:rStyle w:val="ListParagraphChar"/>
        </w:rPr>
        <w:t xml:space="preserve">roup accounts for </w:t>
      </w:r>
      <w:r w:rsidR="005C3092" w:rsidRPr="70BFB7CE">
        <w:rPr>
          <w:rStyle w:val="ListParagraphChar"/>
        </w:rPr>
        <w:t xml:space="preserve">2022-23. </w:t>
      </w:r>
      <w:r w:rsidR="00CB5148" w:rsidRPr="003E786C">
        <w:rPr>
          <w:rStyle w:val="ListParagraphChar"/>
        </w:rPr>
        <w:t>The knock on impact is uncertainty over the level of reserves</w:t>
      </w:r>
      <w:r w:rsidR="00B9326A" w:rsidRPr="003E786C">
        <w:rPr>
          <w:rStyle w:val="ListParagraphChar"/>
        </w:rPr>
        <w:t xml:space="preserve"> and unused capital receipts</w:t>
      </w:r>
      <w:r w:rsidR="00CB5148" w:rsidRPr="003E786C">
        <w:rPr>
          <w:rStyle w:val="ListParagraphChar"/>
        </w:rPr>
        <w:t xml:space="preserve"> impacting on financial planning. Whilst we would </w:t>
      </w:r>
      <w:r w:rsidR="00B9326A" w:rsidRPr="003E786C">
        <w:rPr>
          <w:rStyle w:val="ListParagraphChar"/>
        </w:rPr>
        <w:t xml:space="preserve">like </w:t>
      </w:r>
      <w:r w:rsidR="00CB5148" w:rsidRPr="003E786C">
        <w:rPr>
          <w:rStyle w:val="ListParagraphChar"/>
        </w:rPr>
        <w:t xml:space="preserve">to be fully up to date by </w:t>
      </w:r>
      <w:r w:rsidR="00E7772E" w:rsidRPr="003E786C">
        <w:rPr>
          <w:rStyle w:val="ListParagraphChar"/>
        </w:rPr>
        <w:t xml:space="preserve">the time the 2023/24 accounts should be being prepared, given the level of work required and the level of </w:t>
      </w:r>
      <w:r w:rsidR="00794125" w:rsidRPr="003E786C">
        <w:rPr>
          <w:rStyle w:val="ListParagraphChar"/>
        </w:rPr>
        <w:t>audit scrutiny</w:t>
      </w:r>
      <w:r w:rsidR="00E7772E" w:rsidRPr="003E786C">
        <w:rPr>
          <w:rStyle w:val="ListParagraphChar"/>
        </w:rPr>
        <w:t xml:space="preserve"> this is uncertain</w:t>
      </w:r>
      <w:r w:rsidR="00794125" w:rsidRPr="003E786C">
        <w:rPr>
          <w:rStyle w:val="ListParagraphChar"/>
        </w:rPr>
        <w:t>,</w:t>
      </w:r>
      <w:r w:rsidR="00E7772E" w:rsidRPr="003E786C">
        <w:rPr>
          <w:rStyle w:val="ListParagraphChar"/>
        </w:rPr>
        <w:t xml:space="preserve"> so </w:t>
      </w:r>
      <w:r w:rsidR="00CB5148" w:rsidRPr="003E786C">
        <w:rPr>
          <w:rStyle w:val="ListParagraphChar"/>
        </w:rPr>
        <w:t>for the time being this remains an issue</w:t>
      </w:r>
      <w:r w:rsidR="00CB5148" w:rsidRPr="70BFB7CE">
        <w:rPr>
          <w:rStyle w:val="ListParagraphChar"/>
        </w:rPr>
        <w:t>.</w:t>
      </w:r>
    </w:p>
    <w:p w14:paraId="33B5903E" w14:textId="460A81E1" w:rsidR="00743A99" w:rsidRPr="008B1476" w:rsidRDefault="00802A3D" w:rsidP="00442773">
      <w:pPr>
        <w:pStyle w:val="ListParagraph"/>
        <w:numPr>
          <w:ilvl w:val="0"/>
          <w:numId w:val="15"/>
        </w:numPr>
        <w:jc w:val="both"/>
        <w:rPr>
          <w:rStyle w:val="ListParagraphChar"/>
          <w:b/>
          <w:u w:val="single"/>
        </w:rPr>
      </w:pPr>
      <w:r w:rsidRPr="008B1476">
        <w:rPr>
          <w:rStyle w:val="ListParagraphChar"/>
          <w:b/>
          <w:u w:val="single"/>
        </w:rPr>
        <w:t>R</w:t>
      </w:r>
      <w:r w:rsidR="00743A99" w:rsidRPr="008B1476">
        <w:rPr>
          <w:rStyle w:val="ListParagraphChar"/>
          <w:b/>
          <w:u w:val="single"/>
        </w:rPr>
        <w:t>eserves</w:t>
      </w:r>
    </w:p>
    <w:p w14:paraId="1359707E" w14:textId="3601FD12" w:rsidR="001C2F9C" w:rsidRDefault="00E61543" w:rsidP="008B1476">
      <w:pPr>
        <w:pStyle w:val="ListParagraph"/>
        <w:numPr>
          <w:ilvl w:val="0"/>
          <w:numId w:val="0"/>
        </w:numPr>
        <w:ind w:left="720"/>
        <w:jc w:val="both"/>
      </w:pPr>
      <w:r w:rsidRPr="00826BF4">
        <w:t xml:space="preserve">The prudent level of reserves that the Council should maintain is a matter of judgement. Generally the higher the risk of the council’s financial plans the higher the level of reserves and balances. </w:t>
      </w:r>
      <w:r>
        <w:t>The Oxford Model’s reliance on income streams from its wholly owned companies and other sources of income such as commercial rents is more of a risk than simply reducing spend. In such situations it is prudent and advisable to hold an adequate amount of reserves and balances to deal with any volatility in these area.</w:t>
      </w:r>
    </w:p>
    <w:p w14:paraId="06C1C7DA" w14:textId="77777777" w:rsidR="00E61543" w:rsidRPr="00E61543" w:rsidRDefault="00E61543" w:rsidP="008B1476">
      <w:pPr>
        <w:ind w:left="720"/>
      </w:pPr>
      <w:r w:rsidRPr="003E786C">
        <w:t>CIPFA undertake a survey of councils to understand their financial resilience. By analysing data from individual councils and providing comparisons on a number of key financial areas,</w:t>
      </w:r>
      <w:r>
        <w:t xml:space="preserve"> CIPFA place a risk rating against each of these measures </w:t>
      </w:r>
      <w:r>
        <w:lastRenderedPageBreak/>
        <w:t xml:space="preserve">in terms high, medium and low risk. The latest exercise was undertaken in December 2022 based on financial information for 2021-22. </w:t>
      </w:r>
    </w:p>
    <w:p w14:paraId="531C9BBC" w14:textId="613AF7E6" w:rsidR="00E61543" w:rsidRPr="00E61543" w:rsidRDefault="00E61543" w:rsidP="008B1476">
      <w:pPr>
        <w:tabs>
          <w:tab w:val="left" w:pos="1134"/>
        </w:tabs>
        <w:ind w:left="720"/>
      </w:pPr>
      <w:r w:rsidRPr="00E61543">
        <w:t xml:space="preserve">The main observations in comparison to other non-metropolitan districts was as follows: </w:t>
      </w:r>
    </w:p>
    <w:p w14:paraId="0B8F5537" w14:textId="5CC3BD50" w:rsidR="00E61543" w:rsidRPr="00E61543" w:rsidRDefault="00E61543" w:rsidP="00A3168E">
      <w:pPr>
        <w:numPr>
          <w:ilvl w:val="0"/>
          <w:numId w:val="11"/>
        </w:numPr>
        <w:tabs>
          <w:tab w:val="left" w:pos="1134"/>
        </w:tabs>
        <w:ind w:left="1134" w:hanging="567"/>
      </w:pPr>
      <w:r>
        <w:t xml:space="preserve">The ratio of Council tax income as a proportion of net expenditure was 38% for Oxford against a range of 34%- 100% for other local authorities. The </w:t>
      </w:r>
      <w:r w:rsidRPr="003E786C">
        <w:t>authority was deemed low risk</w:t>
      </w:r>
      <w:r>
        <w:t xml:space="preserve">.   </w:t>
      </w:r>
    </w:p>
    <w:p w14:paraId="14C4D143" w14:textId="77777777" w:rsidR="00E61543" w:rsidRPr="003E786C" w:rsidRDefault="00E61543" w:rsidP="70BFB7CE">
      <w:pPr>
        <w:numPr>
          <w:ilvl w:val="0"/>
          <w:numId w:val="12"/>
        </w:numPr>
        <w:ind w:left="1134" w:hanging="567"/>
      </w:pPr>
      <w:r>
        <w:t xml:space="preserve">The ‘Oxford Model’ relies on significant income streams to fund its gross expenditure. Fees and charges as a ratio to service expenditure is 25% against a range of 1.37% to 57% for other local authorities. </w:t>
      </w:r>
      <w:r w:rsidRPr="003E786C">
        <w:t>This ratio will increase over the life of the MTFP given the reliance on financial returns from OCHL and ODS and although deemed low by CIPFA is certainly one to closely monitor.</w:t>
      </w:r>
    </w:p>
    <w:p w14:paraId="5D9CA63E" w14:textId="2AB0E75D" w:rsidR="00E61543" w:rsidRPr="003E786C" w:rsidRDefault="00E61543" w:rsidP="70BFB7CE">
      <w:pPr>
        <w:numPr>
          <w:ilvl w:val="0"/>
          <w:numId w:val="12"/>
        </w:numPr>
        <w:ind w:left="1134" w:hanging="567"/>
      </w:pPr>
      <w:r>
        <w:t xml:space="preserve">The high percentage of business rates growth above baseline for Oxford City Council at 74% within a range of -153% to 435% is reflective of the opening of the Westgate Shopping Centre and is deemed medium to high risk. </w:t>
      </w:r>
      <w:r w:rsidRPr="003E786C">
        <w:t xml:space="preserve">The authority has </w:t>
      </w:r>
      <w:r w:rsidR="410A6381">
        <w:t xml:space="preserve">further </w:t>
      </w:r>
      <w:r w:rsidRPr="003E786C">
        <w:t xml:space="preserve"> to fall from ‘fairer funding’</w:t>
      </w:r>
    </w:p>
    <w:p w14:paraId="5DA28D7C" w14:textId="28874A67" w:rsidR="00E61543" w:rsidRPr="00E61543" w:rsidRDefault="00E61543" w:rsidP="00A3168E">
      <w:pPr>
        <w:numPr>
          <w:ilvl w:val="0"/>
          <w:numId w:val="12"/>
        </w:numPr>
        <w:ind w:left="1134" w:hanging="567"/>
      </w:pPr>
      <w:r>
        <w:t xml:space="preserve">At £3.8 million the General Fund Working Balance </w:t>
      </w:r>
      <w:r w:rsidR="00A44EE7">
        <w:t xml:space="preserve">is </w:t>
      </w:r>
      <w:r>
        <w:t xml:space="preserve">around 10% of net revenue expenditure. Whilst this was far short of the upper end of the sample group at 300% </w:t>
      </w:r>
      <w:r w:rsidRPr="003E786C">
        <w:t>and is considered high risk, it is still considered by the Council’s Section 151 Officer to be a reasonable level for this authority especially when combined with earmarked reserves.</w:t>
      </w:r>
      <w:r>
        <w:t xml:space="preserve"> </w:t>
      </w:r>
    </w:p>
    <w:p w14:paraId="07C40A0A" w14:textId="2DC204C8" w:rsidR="00E61543" w:rsidRDefault="008A64A7" w:rsidP="008B1476">
      <w:pPr>
        <w:pStyle w:val="ListParagraph"/>
        <w:numPr>
          <w:ilvl w:val="0"/>
          <w:numId w:val="0"/>
        </w:numPr>
        <w:ind w:left="567"/>
        <w:jc w:val="both"/>
        <w:rPr>
          <w:rStyle w:val="ListParagraphChar"/>
        </w:rPr>
      </w:pPr>
      <w:r w:rsidRPr="008A64A7">
        <w:rPr>
          <w:rStyle w:val="ListParagraphChar"/>
        </w:rPr>
        <w:t>The unallocated working balance currently stands at around £4 million and there is another £18 million earmarked reserves which cover fluctuations in NNDR, capital and risk. It is intended that around £7million of this amount will be used over the next 5 year period on balancing the budget. Assuming the budget over that period stays on track then the remaining reserves and balances should be adequate</w:t>
      </w:r>
      <w:r w:rsidR="008565C3">
        <w:rPr>
          <w:rStyle w:val="ListParagraphChar"/>
        </w:rPr>
        <w:t xml:space="preserve"> over this period</w:t>
      </w:r>
      <w:r w:rsidRPr="008A64A7">
        <w:rPr>
          <w:rStyle w:val="ListParagraphChar"/>
        </w:rPr>
        <w:t xml:space="preserve">. </w:t>
      </w:r>
    </w:p>
    <w:p w14:paraId="073E3E55" w14:textId="1F0E715D" w:rsidR="008B1476" w:rsidRPr="00442773" w:rsidRDefault="008B1476" w:rsidP="00442773">
      <w:pPr>
        <w:pStyle w:val="ListParagraph"/>
        <w:numPr>
          <w:ilvl w:val="0"/>
          <w:numId w:val="15"/>
        </w:numPr>
        <w:ind w:left="567" w:hanging="425"/>
        <w:jc w:val="both"/>
        <w:rPr>
          <w:rStyle w:val="ListParagraphChar"/>
          <w:b/>
          <w:bCs/>
          <w:u w:val="single"/>
        </w:rPr>
      </w:pPr>
      <w:r w:rsidRPr="00442773">
        <w:rPr>
          <w:rStyle w:val="ListParagraphChar"/>
          <w:b/>
          <w:bCs/>
          <w:u w:val="single"/>
        </w:rPr>
        <w:t>Equal Pay</w:t>
      </w:r>
    </w:p>
    <w:p w14:paraId="47475658" w14:textId="53234335" w:rsidR="008B1476" w:rsidRPr="008B1476" w:rsidRDefault="008B1476" w:rsidP="00FD322D">
      <w:pPr>
        <w:ind w:left="567" w:hanging="360"/>
        <w:jc w:val="both"/>
        <w:rPr>
          <w:rStyle w:val="ListParagraphChar"/>
        </w:rPr>
      </w:pPr>
      <w:r>
        <w:rPr>
          <w:rStyle w:val="ListParagraphChar"/>
        </w:rPr>
        <w:tab/>
      </w:r>
      <w:r w:rsidR="0087253B">
        <w:rPr>
          <w:rStyle w:val="ListParagraphChar"/>
        </w:rPr>
        <w:t>Equal pay claims have increased in prevalence and as in the case of Birmingham can represent significant risk and liability for a Local Authority. O</w:t>
      </w:r>
      <w:r>
        <w:rPr>
          <w:rStyle w:val="ListParagraphChar"/>
        </w:rPr>
        <w:t>xford C</w:t>
      </w:r>
      <w:r w:rsidR="0087253B">
        <w:rPr>
          <w:rStyle w:val="ListParagraphChar"/>
        </w:rPr>
        <w:t>ity is not immune to such claim. Decisions taken in good faith to assist with recruitment and retention can result in a risk of a claim arising.</w:t>
      </w:r>
      <w:r>
        <w:rPr>
          <w:rStyle w:val="ListParagraphChar"/>
        </w:rPr>
        <w:t xml:space="preserve"> The local pay deal </w:t>
      </w:r>
      <w:r w:rsidR="00794125">
        <w:rPr>
          <w:rStyle w:val="ListParagraphChar"/>
        </w:rPr>
        <w:t xml:space="preserve">for Oxford </w:t>
      </w:r>
      <w:r>
        <w:rPr>
          <w:rStyle w:val="ListParagraphChar"/>
        </w:rPr>
        <w:t xml:space="preserve">which looks at staff pay across the Council and its subsidiaries </w:t>
      </w:r>
      <w:r w:rsidR="0087253B">
        <w:rPr>
          <w:rStyle w:val="ListParagraphChar"/>
        </w:rPr>
        <w:t xml:space="preserve">does mitigate the risk of such claims arising and where they do, mitigates the risk that they will be of a significant level as experienced in Birmingham. This is however an unpredictable risk for all authorities and Oxford City Council will also need to ensure it is mindful of decisions that increase the risk of claim and in rectifying any issues which may be identified. </w:t>
      </w:r>
      <w:r>
        <w:rPr>
          <w:rStyle w:val="ListParagraphChar"/>
        </w:rPr>
        <w:t xml:space="preserve"> </w:t>
      </w:r>
    </w:p>
    <w:p w14:paraId="6AFFDCA5" w14:textId="2A3A7FC3" w:rsidR="00E87F7A" w:rsidRPr="00A3168E" w:rsidRDefault="00802A3D" w:rsidP="00E87F7A">
      <w:pPr>
        <w:spacing w:before="240"/>
        <w:outlineLvl w:val="0"/>
        <w:rPr>
          <w:b/>
        </w:rPr>
      </w:pPr>
      <w:r w:rsidRPr="00A3168E">
        <w:rPr>
          <w:b/>
        </w:rPr>
        <w:t xml:space="preserve">Summary </w:t>
      </w:r>
      <w:r w:rsidR="008A64A7" w:rsidRPr="00A3168E">
        <w:rPr>
          <w:b/>
        </w:rPr>
        <w:t xml:space="preserve">of Oxford City Council’s </w:t>
      </w:r>
      <w:r w:rsidRPr="00A3168E">
        <w:rPr>
          <w:b/>
        </w:rPr>
        <w:t>Position</w:t>
      </w:r>
    </w:p>
    <w:p w14:paraId="72B2583A" w14:textId="4F28C993" w:rsidR="00DD1CED" w:rsidRPr="003E786C" w:rsidRDefault="00C43A17" w:rsidP="70BFB7CE">
      <w:pPr>
        <w:ind w:left="360" w:hanging="360"/>
        <w:jc w:val="both"/>
        <w:rPr>
          <w:rStyle w:val="ListParagraphChar"/>
        </w:rPr>
      </w:pPr>
      <w:r>
        <w:t>27</w:t>
      </w:r>
      <w:r w:rsidR="00A3168E">
        <w:tab/>
      </w:r>
      <w:r w:rsidR="008A64A7" w:rsidRPr="003E786C">
        <w:t>Taking the contents of this paper on board, is the Section 151 Officer about to issue a Section 114 Notice any time soon</w:t>
      </w:r>
      <w:r w:rsidR="005F7B84" w:rsidRPr="003E786C">
        <w:t>?</w:t>
      </w:r>
      <w:r w:rsidR="008A64A7" w:rsidRPr="003E786C">
        <w:t xml:space="preserve"> In short no. Can we rule this out in the future?</w:t>
      </w:r>
      <w:r w:rsidR="008B1476">
        <w:t xml:space="preserve"> </w:t>
      </w:r>
      <w:r w:rsidR="008A64A7">
        <w:t xml:space="preserve">Many of the </w:t>
      </w:r>
      <w:r w:rsidR="00C14FB4">
        <w:t>authorities</w:t>
      </w:r>
      <w:r w:rsidR="008A64A7">
        <w:t xml:space="preserve"> that have issued a Section 114 Notice may not have seen </w:t>
      </w:r>
      <w:r w:rsidR="00C14FB4">
        <w:t xml:space="preserve">it </w:t>
      </w:r>
      <w:r w:rsidR="008A64A7">
        <w:t>coming and i</w:t>
      </w:r>
      <w:r w:rsidR="00C14FB4">
        <w:t>f</w:t>
      </w:r>
      <w:r w:rsidR="008A64A7">
        <w:t xml:space="preserve"> asked this question some years back would have </w:t>
      </w:r>
      <w:r w:rsidR="00A3168E">
        <w:t>answered,</w:t>
      </w:r>
      <w:r w:rsidR="008A64A7">
        <w:t xml:space="preserve"> no. </w:t>
      </w:r>
      <w:r w:rsidR="008A64A7" w:rsidRPr="003E786C">
        <w:t xml:space="preserve">As I have said the </w:t>
      </w:r>
      <w:r w:rsidR="00A3168E" w:rsidRPr="003E786C">
        <w:t>current</w:t>
      </w:r>
      <w:r w:rsidR="008A64A7" w:rsidRPr="003E786C">
        <w:t xml:space="preserve"> financial situation makes all authorities take bigger</w:t>
      </w:r>
      <w:r w:rsidR="00C14FB4" w:rsidRPr="003E786C">
        <w:rPr>
          <w:rStyle w:val="ListParagraphChar"/>
        </w:rPr>
        <w:t xml:space="preserve"> risks and I </w:t>
      </w:r>
      <w:r w:rsidR="00C14FB4" w:rsidRPr="003E786C">
        <w:rPr>
          <w:rStyle w:val="ListParagraphChar"/>
        </w:rPr>
        <w:lastRenderedPageBreak/>
        <w:t xml:space="preserve">have always </w:t>
      </w:r>
      <w:r w:rsidR="00A3168E" w:rsidRPr="003E786C">
        <w:rPr>
          <w:rStyle w:val="ListParagraphChar"/>
        </w:rPr>
        <w:t>recommended</w:t>
      </w:r>
      <w:r w:rsidR="00C14FB4" w:rsidRPr="003E786C">
        <w:rPr>
          <w:rStyle w:val="ListParagraphChar"/>
        </w:rPr>
        <w:t xml:space="preserve"> that the authority </w:t>
      </w:r>
      <w:r w:rsidR="00A3168E" w:rsidRPr="003E786C">
        <w:rPr>
          <w:rStyle w:val="ListParagraphChar"/>
        </w:rPr>
        <w:t>needs</w:t>
      </w:r>
      <w:r w:rsidR="00C14FB4" w:rsidRPr="003E786C">
        <w:rPr>
          <w:rStyle w:val="ListParagraphChar"/>
        </w:rPr>
        <w:t xml:space="preserve"> a large level of reserves to deal with budget variation</w:t>
      </w:r>
      <w:r w:rsidR="00A3168E" w:rsidRPr="003E786C">
        <w:rPr>
          <w:rStyle w:val="ListParagraphChar"/>
        </w:rPr>
        <w:t>s</w:t>
      </w:r>
      <w:r w:rsidR="00C14FB4" w:rsidRPr="003E786C">
        <w:rPr>
          <w:rStyle w:val="ListParagraphChar"/>
        </w:rPr>
        <w:t>.</w:t>
      </w:r>
      <w:r w:rsidR="00C14FB4" w:rsidRPr="70BFB7CE">
        <w:rPr>
          <w:rStyle w:val="ListParagraphChar"/>
        </w:rPr>
        <w:t xml:space="preserve"> </w:t>
      </w:r>
    </w:p>
    <w:p w14:paraId="1324BADE" w14:textId="6AC9FBE5" w:rsidR="004F24D8" w:rsidRPr="004F24D8" w:rsidRDefault="00C43A17" w:rsidP="00C43A17">
      <w:pPr>
        <w:pStyle w:val="bParagraphtext"/>
        <w:ind w:left="360" w:hanging="360"/>
        <w:rPr>
          <w:rFonts w:cs="Arial"/>
          <w:color w:val="222222"/>
          <w:sz w:val="23"/>
          <w:szCs w:val="23"/>
        </w:rPr>
      </w:pPr>
      <w:r>
        <w:rPr>
          <w:rStyle w:val="ListParagraphChar"/>
        </w:rPr>
        <w:t>28</w:t>
      </w:r>
      <w:r>
        <w:rPr>
          <w:rStyle w:val="ListParagraphChar"/>
        </w:rPr>
        <w:tab/>
      </w:r>
      <w:r w:rsidR="00C14FB4">
        <w:rPr>
          <w:rStyle w:val="ListParagraphChar"/>
        </w:rPr>
        <w:t xml:space="preserve">The current economic climate is difficult, rising costs and falling values of our investments continue to be a problem. Prudent financial management is the key and we should continue to exercise that approach in all that we do. </w:t>
      </w:r>
      <w:r w:rsidR="006763BA">
        <w:rPr>
          <w:rStyle w:val="ListParagraphChar"/>
        </w:rPr>
        <w:t xml:space="preserve">The role of </w:t>
      </w:r>
      <w:r w:rsidR="00095D55">
        <w:rPr>
          <w:rStyle w:val="ListParagraphChar"/>
        </w:rPr>
        <w:t>Members is</w:t>
      </w:r>
      <w:r w:rsidR="006763BA">
        <w:rPr>
          <w:rStyle w:val="ListParagraphChar"/>
        </w:rPr>
        <w:t xml:space="preserve"> critical in</w:t>
      </w:r>
      <w:r w:rsidR="00DD1CED">
        <w:rPr>
          <w:rStyle w:val="ListParagraphChar"/>
        </w:rPr>
        <w:t xml:space="preserve"> this</w:t>
      </w:r>
      <w:r w:rsidR="006763BA">
        <w:rPr>
          <w:rStyle w:val="ListParagraphChar"/>
        </w:rPr>
        <w:t xml:space="preserve"> regard</w:t>
      </w:r>
      <w:r w:rsidR="00DD1CED">
        <w:rPr>
          <w:rStyle w:val="ListParagraphChar"/>
        </w:rPr>
        <w:t xml:space="preserve">. </w:t>
      </w:r>
      <w:r w:rsidR="004F24D8">
        <w:rPr>
          <w:rStyle w:val="ListParagraphChar"/>
        </w:rPr>
        <w:t xml:space="preserve">Section </w:t>
      </w:r>
      <w:r w:rsidR="004F24D8" w:rsidRPr="004F24D8">
        <w:rPr>
          <w:rFonts w:cs="Arial"/>
          <w:color w:val="222222"/>
          <w:sz w:val="23"/>
          <w:szCs w:val="23"/>
          <w:bdr w:val="none" w:sz="0" w:space="0" w:color="auto" w:frame="1"/>
          <w:shd w:val="clear" w:color="auto" w:fill="FFFFFF"/>
        </w:rPr>
        <w:t xml:space="preserve">30(6) LGFA 1992 provides that the council </w:t>
      </w:r>
      <w:r w:rsidR="004F24D8">
        <w:rPr>
          <w:rFonts w:cs="Arial"/>
          <w:color w:val="222222"/>
          <w:sz w:val="23"/>
          <w:szCs w:val="23"/>
          <w:bdr w:val="none" w:sz="0" w:space="0" w:color="auto" w:frame="1"/>
          <w:shd w:val="clear" w:color="auto" w:fill="FFFFFF"/>
        </w:rPr>
        <w:t>must</w:t>
      </w:r>
      <w:r w:rsidR="004F24D8" w:rsidRPr="004F24D8">
        <w:rPr>
          <w:rFonts w:cs="Arial"/>
          <w:color w:val="222222"/>
          <w:sz w:val="23"/>
          <w:szCs w:val="23"/>
          <w:bdr w:val="none" w:sz="0" w:space="0" w:color="auto" w:frame="1"/>
          <w:shd w:val="clear" w:color="auto" w:fill="FFFFFF"/>
        </w:rPr>
        <w:t xml:space="preserve"> set its budget before 11 </w:t>
      </w:r>
      <w:r w:rsidR="003E786C" w:rsidRPr="004F24D8">
        <w:rPr>
          <w:rFonts w:cs="Arial"/>
          <w:color w:val="222222"/>
          <w:sz w:val="23"/>
          <w:szCs w:val="23"/>
          <w:bdr w:val="none" w:sz="0" w:space="0" w:color="auto" w:frame="1"/>
          <w:shd w:val="clear" w:color="auto" w:fill="FFFFFF"/>
        </w:rPr>
        <w:t xml:space="preserve">March. </w:t>
      </w:r>
      <w:r w:rsidR="004F24D8">
        <w:rPr>
          <w:rFonts w:cs="Arial"/>
          <w:color w:val="222222"/>
          <w:sz w:val="23"/>
          <w:szCs w:val="23"/>
          <w:bdr w:val="none" w:sz="0" w:space="0" w:color="auto" w:frame="1"/>
          <w:shd w:val="clear" w:color="auto" w:fill="FFFFFF"/>
        </w:rPr>
        <w:t xml:space="preserve">Any </w:t>
      </w:r>
      <w:r w:rsidR="004F24D8" w:rsidRPr="004F24D8">
        <w:rPr>
          <w:rFonts w:cs="Arial"/>
          <w:color w:val="222222"/>
          <w:sz w:val="23"/>
          <w:szCs w:val="23"/>
          <w:bdr w:val="none" w:sz="0" w:space="0" w:color="auto" w:frame="1"/>
          <w:shd w:val="clear" w:color="auto" w:fill="FFFFFF"/>
        </w:rPr>
        <w:t xml:space="preserve">delay will </w:t>
      </w:r>
      <w:r w:rsidR="004F24D8">
        <w:rPr>
          <w:rFonts w:cs="Arial"/>
          <w:color w:val="222222"/>
          <w:sz w:val="23"/>
          <w:szCs w:val="23"/>
          <w:bdr w:val="none" w:sz="0" w:space="0" w:color="auto" w:frame="1"/>
          <w:shd w:val="clear" w:color="auto" w:fill="FFFFFF"/>
        </w:rPr>
        <w:t xml:space="preserve">have </w:t>
      </w:r>
      <w:r w:rsidR="004F24D8" w:rsidRPr="004F24D8">
        <w:rPr>
          <w:rFonts w:cs="Arial"/>
          <w:color w:val="222222"/>
          <w:sz w:val="23"/>
          <w:szCs w:val="23"/>
          <w:bdr w:val="none" w:sz="0" w:space="0" w:color="auto" w:frame="1"/>
          <w:shd w:val="clear" w:color="auto" w:fill="FFFFFF"/>
        </w:rPr>
        <w:t>significant financial administrative and legal implications, including potentially an individual liability for those members who contributed to the failure to set the budget</w:t>
      </w:r>
      <w:r w:rsidR="004F24D8">
        <w:rPr>
          <w:rFonts w:cs="Arial"/>
          <w:color w:val="222222"/>
          <w:sz w:val="23"/>
          <w:szCs w:val="23"/>
          <w:bdr w:val="none" w:sz="0" w:space="0" w:color="auto" w:frame="1"/>
          <w:shd w:val="clear" w:color="auto" w:fill="FFFFFF"/>
        </w:rPr>
        <w:t>.</w:t>
      </w:r>
      <w:r w:rsidR="004F24D8" w:rsidRPr="004F24D8">
        <w:rPr>
          <w:rFonts w:cs="Arial"/>
          <w:color w:val="222222"/>
          <w:sz w:val="23"/>
          <w:szCs w:val="23"/>
          <w:bdr w:val="none" w:sz="0" w:space="0" w:color="auto" w:frame="1"/>
          <w:shd w:val="clear" w:color="auto" w:fill="FFFFFF"/>
        </w:rPr>
        <w:t xml:space="preserve"> </w:t>
      </w:r>
      <w:r w:rsidR="004F24D8">
        <w:rPr>
          <w:rFonts w:cs="Arial"/>
          <w:color w:val="222222"/>
          <w:sz w:val="23"/>
          <w:szCs w:val="23"/>
          <w:bdr w:val="none" w:sz="0" w:space="0" w:color="auto" w:frame="1"/>
          <w:shd w:val="clear" w:color="auto" w:fill="FFFFFF"/>
        </w:rPr>
        <w:t xml:space="preserve">This will affect the </w:t>
      </w:r>
      <w:r w:rsidR="007D463D">
        <w:rPr>
          <w:rFonts w:cs="Arial"/>
          <w:color w:val="222222"/>
          <w:sz w:val="23"/>
          <w:szCs w:val="23"/>
          <w:bdr w:val="none" w:sz="0" w:space="0" w:color="auto" w:frame="1"/>
          <w:shd w:val="clear" w:color="auto" w:fill="FFFFFF"/>
        </w:rPr>
        <w:t>council’s</w:t>
      </w:r>
      <w:r w:rsidR="004F24D8">
        <w:rPr>
          <w:rFonts w:cs="Arial"/>
          <w:color w:val="222222"/>
          <w:sz w:val="23"/>
          <w:szCs w:val="23"/>
          <w:bdr w:val="none" w:sz="0" w:space="0" w:color="auto" w:frame="1"/>
          <w:shd w:val="clear" w:color="auto" w:fill="FFFFFF"/>
        </w:rPr>
        <w:t xml:space="preserve"> </w:t>
      </w:r>
      <w:r w:rsidR="004F24D8" w:rsidRPr="004F24D8">
        <w:rPr>
          <w:rFonts w:cs="Arial"/>
          <w:color w:val="222222"/>
          <w:sz w:val="23"/>
          <w:szCs w:val="23"/>
          <w:bdr w:val="none" w:sz="0" w:space="0" w:color="auto" w:frame="1"/>
          <w:shd w:val="clear" w:color="auto" w:fill="FFFFFF"/>
        </w:rPr>
        <w:t xml:space="preserve">ability to undertake statutory functions and will affect </w:t>
      </w:r>
      <w:r w:rsidR="004F24D8">
        <w:rPr>
          <w:rFonts w:cs="Arial"/>
          <w:color w:val="222222"/>
          <w:sz w:val="23"/>
          <w:szCs w:val="23"/>
          <w:bdr w:val="none" w:sz="0" w:space="0" w:color="auto" w:frame="1"/>
          <w:shd w:val="clear" w:color="auto" w:fill="FFFFFF"/>
        </w:rPr>
        <w:t>its</w:t>
      </w:r>
      <w:r w:rsidR="004F24D8" w:rsidRPr="004F24D8">
        <w:rPr>
          <w:rFonts w:cs="Arial"/>
          <w:color w:val="222222"/>
          <w:sz w:val="23"/>
          <w:szCs w:val="23"/>
          <w:bdr w:val="none" w:sz="0" w:space="0" w:color="auto" w:frame="1"/>
          <w:shd w:val="clear" w:color="auto" w:fill="FFFFFF"/>
        </w:rPr>
        <w:t xml:space="preserve"> ability to enter into any new agreements unless the budget is agreed as otherwise these would be potentially unlawful as unfunded commitments.</w:t>
      </w:r>
    </w:p>
    <w:p w14:paraId="09F602EC" w14:textId="327604DC" w:rsidR="00DD1CED" w:rsidRDefault="00C43A17" w:rsidP="00C43A17">
      <w:pPr>
        <w:ind w:left="360" w:hanging="360"/>
        <w:jc w:val="both"/>
        <w:rPr>
          <w:rStyle w:val="ListParagraphChar"/>
        </w:rPr>
      </w:pPr>
      <w:r>
        <w:rPr>
          <w:rStyle w:val="ListParagraphChar"/>
        </w:rPr>
        <w:t>29</w:t>
      </w:r>
      <w:r>
        <w:rPr>
          <w:rStyle w:val="ListParagraphChar"/>
        </w:rPr>
        <w:tab/>
      </w:r>
      <w:r w:rsidR="00DD1CED">
        <w:rPr>
          <w:rStyle w:val="ListParagraphChar"/>
        </w:rPr>
        <w:t>When COVID hit in 2020 I advised that the authority w</w:t>
      </w:r>
      <w:r w:rsidR="008565C3">
        <w:rPr>
          <w:rStyle w:val="ListParagraphChar"/>
        </w:rPr>
        <w:t>as</w:t>
      </w:r>
      <w:r w:rsidR="00DD1CED">
        <w:rPr>
          <w:rStyle w:val="ListParagraphChar"/>
        </w:rPr>
        <w:t xml:space="preserve"> estimating a loss of income of around £23 million</w:t>
      </w:r>
      <w:r w:rsidR="008565C3">
        <w:rPr>
          <w:rStyle w:val="ListParagraphChar"/>
        </w:rPr>
        <w:t xml:space="preserve"> over the 4 year MTFP</w:t>
      </w:r>
      <w:r w:rsidR="00DD1CED">
        <w:rPr>
          <w:rStyle w:val="ListParagraphChar"/>
        </w:rPr>
        <w:t xml:space="preserve">. </w:t>
      </w:r>
      <w:r w:rsidR="006763BA">
        <w:rPr>
          <w:rStyle w:val="ListParagraphChar"/>
        </w:rPr>
        <w:t>Based on discussions that I had with members and the uncertainty around the financial future</w:t>
      </w:r>
      <w:r w:rsidR="004F24D8">
        <w:rPr>
          <w:rStyle w:val="ListParagraphChar"/>
        </w:rPr>
        <w:t>,</w:t>
      </w:r>
      <w:r w:rsidR="006763BA">
        <w:rPr>
          <w:rStyle w:val="ListParagraphChar"/>
        </w:rPr>
        <w:t xml:space="preserve"> members paused a number of capital schemes and stopped revenue expenditure that had just been agreed in </w:t>
      </w:r>
      <w:r w:rsidR="00095D55">
        <w:rPr>
          <w:rStyle w:val="ListParagraphChar"/>
        </w:rPr>
        <w:t>February</w:t>
      </w:r>
      <w:r w:rsidR="006763BA">
        <w:rPr>
          <w:rStyle w:val="ListParagraphChar"/>
        </w:rPr>
        <w:t xml:space="preserve"> of that year.  </w:t>
      </w:r>
      <w:r w:rsidR="00DD1CED">
        <w:rPr>
          <w:rStyle w:val="ListParagraphChar"/>
        </w:rPr>
        <w:t xml:space="preserve"> </w:t>
      </w:r>
    </w:p>
    <w:p w14:paraId="4C7EB6BF" w14:textId="74A5387F" w:rsidR="006F1019" w:rsidRPr="003E786C" w:rsidRDefault="00C43A17" w:rsidP="00C43A17">
      <w:pPr>
        <w:ind w:left="360" w:hanging="360"/>
        <w:jc w:val="both"/>
        <w:rPr>
          <w:rStyle w:val="ListParagraphChar"/>
        </w:rPr>
      </w:pPr>
      <w:r>
        <w:rPr>
          <w:rStyle w:val="ListParagraphChar"/>
        </w:rPr>
        <w:t>30</w:t>
      </w:r>
      <w:r>
        <w:rPr>
          <w:rStyle w:val="ListParagraphChar"/>
        </w:rPr>
        <w:tab/>
      </w:r>
      <w:r w:rsidR="000A4CB1" w:rsidRPr="70BFB7CE">
        <w:rPr>
          <w:rStyle w:val="ListParagraphChar"/>
        </w:rPr>
        <w:t xml:space="preserve">The LGA in their recent </w:t>
      </w:r>
      <w:r w:rsidR="00C14FB4" w:rsidRPr="70BFB7CE">
        <w:rPr>
          <w:rStyle w:val="ListParagraphChar"/>
        </w:rPr>
        <w:t xml:space="preserve">the Local Government Peer Review </w:t>
      </w:r>
      <w:r w:rsidR="000A4CB1" w:rsidRPr="70BFB7CE">
        <w:rPr>
          <w:rStyle w:val="ListParagraphChar"/>
        </w:rPr>
        <w:t xml:space="preserve">of the authority commented on the ability of </w:t>
      </w:r>
      <w:r w:rsidR="00A3168E" w:rsidRPr="70BFB7CE">
        <w:rPr>
          <w:rStyle w:val="ListParagraphChar"/>
        </w:rPr>
        <w:t xml:space="preserve"> the Council to keep funding services from income streams</w:t>
      </w:r>
      <w:r w:rsidR="000A4CB1" w:rsidRPr="70BFB7CE">
        <w:rPr>
          <w:rStyle w:val="ListParagraphChar"/>
        </w:rPr>
        <w:t>,</w:t>
      </w:r>
      <w:r w:rsidR="00A3168E" w:rsidRPr="70BFB7CE">
        <w:rPr>
          <w:rStyle w:val="ListParagraphChar"/>
        </w:rPr>
        <w:t xml:space="preserve"> which has proved successful to date</w:t>
      </w:r>
      <w:r w:rsidR="000A4CB1" w:rsidRPr="70BFB7CE">
        <w:rPr>
          <w:rStyle w:val="ListParagraphChar"/>
        </w:rPr>
        <w:t>.</w:t>
      </w:r>
      <w:r w:rsidR="006F1019" w:rsidRPr="70BFB7CE">
        <w:rPr>
          <w:rStyle w:val="ListParagraphChar"/>
        </w:rPr>
        <w:t xml:space="preserve"> </w:t>
      </w:r>
      <w:r w:rsidR="006F1019" w:rsidRPr="003E786C">
        <w:rPr>
          <w:rStyle w:val="ListParagraphChar"/>
        </w:rPr>
        <w:t>In their view the time may be approaching where service reductions are required.</w:t>
      </w:r>
    </w:p>
    <w:p w14:paraId="1B0E3851" w14:textId="31B0C161" w:rsidR="004F24D8" w:rsidRDefault="00C43A17" w:rsidP="00C43A17">
      <w:pPr>
        <w:ind w:left="360" w:hanging="360"/>
        <w:jc w:val="both"/>
        <w:rPr>
          <w:rStyle w:val="ListParagraphChar"/>
        </w:rPr>
      </w:pPr>
      <w:r>
        <w:rPr>
          <w:rStyle w:val="ListParagraphChar"/>
        </w:rPr>
        <w:t>31</w:t>
      </w:r>
      <w:r>
        <w:rPr>
          <w:rStyle w:val="ListParagraphChar"/>
        </w:rPr>
        <w:tab/>
      </w:r>
      <w:r w:rsidR="008565C3" w:rsidRPr="70BFB7CE">
        <w:rPr>
          <w:rStyle w:val="ListParagraphChar"/>
        </w:rPr>
        <w:t xml:space="preserve">The issues arising from the implementation of the </w:t>
      </w:r>
      <w:r w:rsidR="008565C3" w:rsidRPr="003E786C">
        <w:rPr>
          <w:rStyle w:val="ListParagraphChar"/>
        </w:rPr>
        <w:t xml:space="preserve">Housing Management System, </w:t>
      </w:r>
      <w:r w:rsidR="006F1019" w:rsidRPr="003E786C">
        <w:rPr>
          <w:rStyle w:val="ListParagraphChar"/>
        </w:rPr>
        <w:t xml:space="preserve">the dependence on our wholly owned companies, </w:t>
      </w:r>
      <w:r w:rsidR="008565C3" w:rsidRPr="003E786C">
        <w:rPr>
          <w:rStyle w:val="ListParagraphChar"/>
        </w:rPr>
        <w:t>the backlog in the production of the statement of accounts, the current overspend o</w:t>
      </w:r>
      <w:r w:rsidR="008565C3" w:rsidRPr="70BFB7CE">
        <w:rPr>
          <w:rStyle w:val="ListParagraphChar"/>
        </w:rPr>
        <w:t xml:space="preserve">n </w:t>
      </w:r>
      <w:r w:rsidR="002816C4">
        <w:rPr>
          <w:rStyle w:val="ListParagraphChar"/>
        </w:rPr>
        <w:t xml:space="preserve">Temporary Accommodation </w:t>
      </w:r>
      <w:r w:rsidR="008565C3" w:rsidRPr="70BFB7CE">
        <w:rPr>
          <w:rStyle w:val="ListParagraphChar"/>
        </w:rPr>
        <w:t xml:space="preserve">and the recent falls </w:t>
      </w:r>
      <w:r w:rsidR="00356A62" w:rsidRPr="70BFB7CE">
        <w:rPr>
          <w:rStyle w:val="ListParagraphChar"/>
        </w:rPr>
        <w:t xml:space="preserve">in the values of some of our financial funds show the vulnerability of the Council and </w:t>
      </w:r>
      <w:r w:rsidR="004F24D8" w:rsidRPr="70BFB7CE">
        <w:rPr>
          <w:rStyle w:val="ListParagraphChar"/>
        </w:rPr>
        <w:t xml:space="preserve">reminds us </w:t>
      </w:r>
      <w:r w:rsidR="00356A62" w:rsidRPr="70BFB7CE">
        <w:rPr>
          <w:rStyle w:val="ListParagraphChar"/>
        </w:rPr>
        <w:t>that we are never fa</w:t>
      </w:r>
      <w:r w:rsidR="002816C4">
        <w:rPr>
          <w:rStyle w:val="ListParagraphChar"/>
        </w:rPr>
        <w:t>r away from financial problems.</w:t>
      </w:r>
    </w:p>
    <w:p w14:paraId="5C6EC4F3" w14:textId="2BBAFAB3" w:rsidR="00C14FB4" w:rsidRPr="003E786C" w:rsidRDefault="002816C4" w:rsidP="00C43A17">
      <w:pPr>
        <w:ind w:left="360" w:hanging="360"/>
        <w:jc w:val="both"/>
        <w:rPr>
          <w:rStyle w:val="ListParagraphChar"/>
        </w:rPr>
      </w:pPr>
      <w:r>
        <w:rPr>
          <w:rStyle w:val="ListParagraphChar"/>
        </w:rPr>
        <w:t>32</w:t>
      </w:r>
      <w:r>
        <w:rPr>
          <w:rStyle w:val="ListParagraphChar"/>
        </w:rPr>
        <w:tab/>
      </w:r>
      <w:r w:rsidR="00356A62" w:rsidRPr="003E786C">
        <w:rPr>
          <w:rStyle w:val="ListParagraphChar"/>
        </w:rPr>
        <w:t>In the coming weeks as we open the discussions on the Budget for the next 4 year period</w:t>
      </w:r>
      <w:r>
        <w:rPr>
          <w:rStyle w:val="ListParagraphChar"/>
        </w:rPr>
        <w:t>,</w:t>
      </w:r>
      <w:r w:rsidR="00356A62" w:rsidRPr="003E786C">
        <w:rPr>
          <w:rStyle w:val="ListParagraphChar"/>
        </w:rPr>
        <w:t xml:space="preserve"> we ma</w:t>
      </w:r>
      <w:r w:rsidR="004F24D8" w:rsidRPr="003E786C">
        <w:rPr>
          <w:rStyle w:val="ListParagraphChar"/>
        </w:rPr>
        <w:t>y</w:t>
      </w:r>
      <w:r w:rsidR="00356A62" w:rsidRPr="003E786C">
        <w:rPr>
          <w:rStyle w:val="ListParagraphChar"/>
        </w:rPr>
        <w:t xml:space="preserve"> need to </w:t>
      </w:r>
      <w:r w:rsidR="004F24D8" w:rsidRPr="003E786C">
        <w:rPr>
          <w:rStyle w:val="ListParagraphChar"/>
        </w:rPr>
        <w:t>take</w:t>
      </w:r>
      <w:r w:rsidR="00356A62" w:rsidRPr="003E786C">
        <w:rPr>
          <w:rStyle w:val="ListParagraphChar"/>
        </w:rPr>
        <w:t xml:space="preserve"> difficult </w:t>
      </w:r>
      <w:r w:rsidR="00EC3254" w:rsidRPr="003E786C">
        <w:rPr>
          <w:rStyle w:val="ListParagraphChar"/>
        </w:rPr>
        <w:t>decisions to</w:t>
      </w:r>
      <w:r w:rsidR="00A3168E" w:rsidRPr="003E786C">
        <w:rPr>
          <w:rStyle w:val="ListParagraphChar"/>
        </w:rPr>
        <w:t xml:space="preserve"> protect </w:t>
      </w:r>
      <w:r w:rsidR="00356A62" w:rsidRPr="003E786C">
        <w:rPr>
          <w:rStyle w:val="ListParagraphChar"/>
        </w:rPr>
        <w:t>our</w:t>
      </w:r>
      <w:r w:rsidR="00A3168E" w:rsidRPr="003E786C">
        <w:rPr>
          <w:rStyle w:val="ListParagraphChar"/>
        </w:rPr>
        <w:t xml:space="preserve"> financial position.</w:t>
      </w:r>
      <w:r w:rsidR="004F24D8" w:rsidRPr="003E786C">
        <w:rPr>
          <w:rStyle w:val="ListParagraphChar"/>
        </w:rPr>
        <w:t xml:space="preserve"> </w:t>
      </w:r>
      <w:r>
        <w:rPr>
          <w:rStyle w:val="ListParagraphChar"/>
        </w:rPr>
        <w:t>We also need to be cautious and prudent in how we use our reserves and what we include for company dividends and other sources of income, given their volatility and although it is not a legal requirement we have to stick to 4/5 year budget planning even though the uncertainty is greater in later years. I</w:t>
      </w:r>
      <w:r w:rsidR="004F24D8" w:rsidRPr="003E786C">
        <w:rPr>
          <w:rStyle w:val="ListParagraphChar"/>
        </w:rPr>
        <w:t xml:space="preserve"> am sure that councillors will do this </w:t>
      </w:r>
      <w:r w:rsidR="00FD322D" w:rsidRPr="003E786C">
        <w:rPr>
          <w:rStyle w:val="ListParagraphChar"/>
        </w:rPr>
        <w:t>and avoid</w:t>
      </w:r>
      <w:r>
        <w:rPr>
          <w:rStyle w:val="ListParagraphChar"/>
        </w:rPr>
        <w:t xml:space="preserve"> the </w:t>
      </w:r>
      <w:r w:rsidR="004F24D8" w:rsidRPr="003E786C">
        <w:rPr>
          <w:rStyle w:val="ListParagraphChar"/>
        </w:rPr>
        <w:t>need for me to issue a Section 114 notice in this authority</w:t>
      </w:r>
      <w:r>
        <w:rPr>
          <w:rStyle w:val="ListParagraphChar"/>
        </w:rPr>
        <w:t>, at least for the foreseeable future</w:t>
      </w:r>
      <w:r w:rsidR="004F24D8" w:rsidRPr="003E786C">
        <w:rPr>
          <w:rStyle w:val="ListParagraphChar"/>
        </w:rPr>
        <w:t>.</w:t>
      </w:r>
      <w:r w:rsidR="004F24D8" w:rsidRPr="70BFB7CE">
        <w:rPr>
          <w:rStyle w:val="ListParagraphChar"/>
        </w:rPr>
        <w:t xml:space="preserve"> </w:t>
      </w:r>
    </w:p>
    <w:p w14:paraId="65AF19B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C06165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979CE1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E3BE3E" w14:textId="1BDFCD18" w:rsidR="00E87F7A" w:rsidRPr="001356F1" w:rsidRDefault="001E18CE" w:rsidP="00A46E98">
            <w:r>
              <w:t>Nigel Kennedy</w:t>
            </w:r>
          </w:p>
        </w:tc>
      </w:tr>
      <w:tr w:rsidR="00DF093E" w:rsidRPr="001356F1" w14:paraId="4974116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09485FC"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CE50817" w14:textId="7D8CA818" w:rsidR="00E87F7A" w:rsidRPr="001356F1" w:rsidRDefault="001E18CE" w:rsidP="00A46E98">
            <w:r>
              <w:t>Head of Finance (Section 151 Officer)</w:t>
            </w:r>
          </w:p>
        </w:tc>
      </w:tr>
      <w:tr w:rsidR="00DF093E" w:rsidRPr="001356F1" w14:paraId="711DF27E" w14:textId="77777777" w:rsidTr="00A46E98">
        <w:trPr>
          <w:cantSplit/>
          <w:trHeight w:val="396"/>
        </w:trPr>
        <w:tc>
          <w:tcPr>
            <w:tcW w:w="3969" w:type="dxa"/>
            <w:tcBorders>
              <w:top w:val="nil"/>
              <w:left w:val="single" w:sz="8" w:space="0" w:color="000000"/>
              <w:bottom w:val="nil"/>
              <w:right w:val="nil"/>
            </w:tcBorders>
            <w:shd w:val="clear" w:color="auto" w:fill="auto"/>
          </w:tcPr>
          <w:p w14:paraId="04CD6FD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84884DD" w14:textId="359F7491" w:rsidR="00E87F7A" w:rsidRPr="001356F1" w:rsidRDefault="001E18CE" w:rsidP="00A46E98">
            <w:r>
              <w:t>Financial Services</w:t>
            </w:r>
          </w:p>
        </w:tc>
      </w:tr>
      <w:tr w:rsidR="00DF093E" w:rsidRPr="001356F1" w14:paraId="22F55955" w14:textId="77777777" w:rsidTr="00A46E98">
        <w:trPr>
          <w:cantSplit/>
          <w:trHeight w:val="396"/>
        </w:trPr>
        <w:tc>
          <w:tcPr>
            <w:tcW w:w="3969" w:type="dxa"/>
            <w:tcBorders>
              <w:top w:val="nil"/>
              <w:left w:val="single" w:sz="8" w:space="0" w:color="000000"/>
              <w:bottom w:val="nil"/>
              <w:right w:val="nil"/>
            </w:tcBorders>
            <w:shd w:val="clear" w:color="auto" w:fill="auto"/>
          </w:tcPr>
          <w:p w14:paraId="24ECAE4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6E7BAC8" w14:textId="72DB84AC" w:rsidR="00E87F7A" w:rsidRPr="001356F1" w:rsidRDefault="00E87F7A" w:rsidP="00A46E98">
            <w:r w:rsidRPr="001356F1">
              <w:t xml:space="preserve">01865 </w:t>
            </w:r>
            <w:r w:rsidR="001E18CE">
              <w:t>252708</w:t>
            </w:r>
          </w:p>
        </w:tc>
      </w:tr>
      <w:tr w:rsidR="005570B5" w:rsidRPr="001356F1" w14:paraId="18BDBBD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970E11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A7795E1" w14:textId="1F1F351A" w:rsidR="00E87F7A" w:rsidRPr="001356F1" w:rsidRDefault="001E18CE" w:rsidP="00A46E98">
            <w:pPr>
              <w:rPr>
                <w:rStyle w:val="Hyperlink"/>
                <w:color w:val="000000"/>
              </w:rPr>
            </w:pPr>
            <w:r>
              <w:rPr>
                <w:rStyle w:val="Hyperlink"/>
                <w:color w:val="000000"/>
              </w:rPr>
              <w:t>nkennedy</w:t>
            </w:r>
            <w:r w:rsidR="00DD5441">
              <w:rPr>
                <w:rStyle w:val="Hyperlink"/>
                <w:color w:val="000000"/>
              </w:rPr>
              <w:t>@oxford.gov.uk</w:t>
            </w:r>
          </w:p>
        </w:tc>
      </w:tr>
    </w:tbl>
    <w:p w14:paraId="41DD196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E5831A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A245185" w14:textId="77777777" w:rsidR="0093067A" w:rsidRPr="00A92CE1" w:rsidRDefault="00182B81" w:rsidP="00F41AC1">
            <w:pPr>
              <w:rPr>
                <w:highlight w:val="yellow"/>
              </w:rPr>
            </w:pPr>
            <w:r w:rsidRPr="002C26E8">
              <w:rPr>
                <w:rStyle w:val="Firstpagetablebold"/>
              </w:rPr>
              <w:t xml:space="preserve">Background Papers: </w:t>
            </w:r>
            <w:r w:rsidRPr="002C26E8">
              <w:rPr>
                <w:rStyle w:val="Firstpagetablebold"/>
                <w:b w:val="0"/>
              </w:rPr>
              <w:t>None</w:t>
            </w:r>
          </w:p>
        </w:tc>
      </w:tr>
    </w:tbl>
    <w:p w14:paraId="710D2803" w14:textId="77777777" w:rsidR="00CE4C87" w:rsidRDefault="00CE4C87" w:rsidP="0093067A"/>
    <w:p w14:paraId="01F2FB6C" w14:textId="77777777" w:rsidR="00821AAF" w:rsidRPr="009E51FC" w:rsidRDefault="00821AAF" w:rsidP="0093067A"/>
    <w:sectPr w:rsidR="00821AAF" w:rsidRPr="009E51FC" w:rsidSect="00B558E1">
      <w:footerReference w:type="even" r:id="rId15"/>
      <w:footerReference w:type="default" r:id="rId16"/>
      <w:headerReference w:type="first" r:id="rId17"/>
      <w:footerReference w:type="first" r:id="rId1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8F34" w14:textId="77777777" w:rsidR="00947248" w:rsidRDefault="00947248" w:rsidP="004A6D2F">
      <w:r>
        <w:separator/>
      </w:r>
    </w:p>
  </w:endnote>
  <w:endnote w:type="continuationSeparator" w:id="0">
    <w:p w14:paraId="4ED5CE7C" w14:textId="77777777" w:rsidR="00947248" w:rsidRDefault="00947248" w:rsidP="004A6D2F">
      <w:r>
        <w:continuationSeparator/>
      </w:r>
    </w:p>
  </w:endnote>
  <w:endnote w:type="continuationNotice" w:id="1">
    <w:p w14:paraId="0F4D3C60" w14:textId="77777777" w:rsidR="00947248" w:rsidRDefault="009472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45DC" w14:textId="77777777" w:rsidR="0069158F" w:rsidRDefault="0069158F" w:rsidP="004A6D2F">
    <w:pPr>
      <w:pStyle w:val="Footer"/>
    </w:pPr>
    <w:r>
      <w:t>Do not use a footer or page numbers.</w:t>
    </w:r>
  </w:p>
  <w:p w14:paraId="450BE7B5" w14:textId="77777777" w:rsidR="0069158F" w:rsidRDefault="0069158F" w:rsidP="004A6D2F">
    <w:pPr>
      <w:pStyle w:val="Footer"/>
    </w:pPr>
  </w:p>
  <w:p w14:paraId="74C4DBF9" w14:textId="77777777" w:rsidR="0069158F" w:rsidRDefault="0069158F"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899228"/>
      <w:docPartObj>
        <w:docPartGallery w:val="Page Numbers (Bottom of Page)"/>
        <w:docPartUnique/>
      </w:docPartObj>
    </w:sdtPr>
    <w:sdtEndPr>
      <w:rPr>
        <w:noProof/>
      </w:rPr>
    </w:sdtEndPr>
    <w:sdtContent>
      <w:p w14:paraId="27CCFEE5" w14:textId="1203F480" w:rsidR="0069158F" w:rsidRDefault="0069158F">
        <w:pPr>
          <w:pStyle w:val="Footer"/>
          <w:jc w:val="center"/>
        </w:pPr>
        <w:r>
          <w:fldChar w:fldCharType="begin"/>
        </w:r>
        <w:r>
          <w:instrText xml:space="preserve"> PAGE   \* MERGEFORMAT </w:instrText>
        </w:r>
        <w:r>
          <w:fldChar w:fldCharType="separate"/>
        </w:r>
        <w:r w:rsidR="002816C4">
          <w:rPr>
            <w:noProof/>
          </w:rPr>
          <w:t>12</w:t>
        </w:r>
        <w:r>
          <w:rPr>
            <w:noProof/>
          </w:rPr>
          <w:fldChar w:fldCharType="end"/>
        </w:r>
      </w:p>
    </w:sdtContent>
  </w:sdt>
  <w:p w14:paraId="11CE061B" w14:textId="77777777" w:rsidR="0069158F" w:rsidRDefault="00691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C140" w14:textId="77777777" w:rsidR="0069158F" w:rsidRDefault="0069158F"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5408" w14:textId="77777777" w:rsidR="00947248" w:rsidRDefault="00947248" w:rsidP="004A6D2F">
      <w:r>
        <w:separator/>
      </w:r>
    </w:p>
  </w:footnote>
  <w:footnote w:type="continuationSeparator" w:id="0">
    <w:p w14:paraId="4B245C9B" w14:textId="77777777" w:rsidR="00947248" w:rsidRDefault="00947248" w:rsidP="004A6D2F">
      <w:r>
        <w:continuationSeparator/>
      </w:r>
    </w:p>
  </w:footnote>
  <w:footnote w:type="continuationNotice" w:id="1">
    <w:p w14:paraId="4EA95773" w14:textId="77777777" w:rsidR="00947248" w:rsidRDefault="009472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EDD" w14:textId="77777777" w:rsidR="0069158F" w:rsidRDefault="0069158F" w:rsidP="00D5547E">
    <w:pPr>
      <w:pStyle w:val="Header"/>
      <w:jc w:val="right"/>
    </w:pPr>
    <w:r>
      <w:rPr>
        <w:noProof/>
      </w:rPr>
      <w:drawing>
        <wp:inline distT="0" distB="0" distL="0" distR="0" wp14:anchorId="5343D484" wp14:editId="6C3C9D9F">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C7"/>
    <w:multiLevelType w:val="hybridMultilevel"/>
    <w:tmpl w:val="6B922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B97891"/>
    <w:multiLevelType w:val="hybridMultilevel"/>
    <w:tmpl w:val="3E1647A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5" w15:restartNumberingAfterBreak="0">
    <w:nsid w:val="3D733571"/>
    <w:multiLevelType w:val="hybridMultilevel"/>
    <w:tmpl w:val="C05E59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E60EAF"/>
    <w:multiLevelType w:val="hybridMultilevel"/>
    <w:tmpl w:val="F9B2C9A2"/>
    <w:lvl w:ilvl="0" w:tplc="349817A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675450C4"/>
    <w:multiLevelType w:val="hybridMultilevel"/>
    <w:tmpl w:val="90B6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B4201B"/>
    <w:multiLevelType w:val="hybridMultilevel"/>
    <w:tmpl w:val="AED469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8023ECC"/>
    <w:multiLevelType w:val="hybridMultilevel"/>
    <w:tmpl w:val="C0981B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8365C6"/>
    <w:multiLevelType w:val="multilevel"/>
    <w:tmpl w:val="4984D25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023894905">
    <w:abstractNumId w:val="1"/>
  </w:num>
  <w:num w:numId="2" w16cid:durableId="135881230">
    <w:abstractNumId w:val="3"/>
  </w:num>
  <w:num w:numId="3" w16cid:durableId="1712069370">
    <w:abstractNumId w:val="2"/>
  </w:num>
  <w:num w:numId="4" w16cid:durableId="1548640526">
    <w:abstractNumId w:val="8"/>
  </w:num>
  <w:num w:numId="5" w16cid:durableId="712736287">
    <w:abstractNumId w:val="9"/>
  </w:num>
  <w:num w:numId="6" w16cid:durableId="56703789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0634081">
    <w:abstractNumId w:val="11"/>
  </w:num>
  <w:num w:numId="8" w16cid:durableId="1138033065">
    <w:abstractNumId w:val="0"/>
  </w:num>
  <w:num w:numId="9" w16cid:durableId="157578737">
    <w:abstractNumId w:val="5"/>
  </w:num>
  <w:num w:numId="10" w16cid:durableId="138038137">
    <w:abstractNumId w:val="11"/>
  </w:num>
  <w:num w:numId="11" w16cid:durableId="1001472703">
    <w:abstractNumId w:val="4"/>
  </w:num>
  <w:num w:numId="12" w16cid:durableId="323289754">
    <w:abstractNumId w:val="7"/>
  </w:num>
  <w:num w:numId="13" w16cid:durableId="1049458211">
    <w:abstractNumId w:val="11"/>
  </w:num>
  <w:num w:numId="14" w16cid:durableId="1321078479">
    <w:abstractNumId w:val="10"/>
  </w:num>
  <w:num w:numId="15" w16cid:durableId="912548940">
    <w:abstractNumId w:val="6"/>
  </w:num>
  <w:num w:numId="16" w16cid:durableId="535194490">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8DA"/>
    <w:rsid w:val="00007842"/>
    <w:rsid w:val="000117D4"/>
    <w:rsid w:val="00016F89"/>
    <w:rsid w:val="0002385C"/>
    <w:rsid w:val="00026E54"/>
    <w:rsid w:val="00030F54"/>
    <w:rsid w:val="0003104E"/>
    <w:rsid w:val="000436F1"/>
    <w:rsid w:val="00045F8B"/>
    <w:rsid w:val="00046D2B"/>
    <w:rsid w:val="0004721A"/>
    <w:rsid w:val="00056263"/>
    <w:rsid w:val="00061E3C"/>
    <w:rsid w:val="00064D8A"/>
    <w:rsid w:val="00064F3A"/>
    <w:rsid w:val="00064F82"/>
    <w:rsid w:val="00066510"/>
    <w:rsid w:val="000748C8"/>
    <w:rsid w:val="000767FF"/>
    <w:rsid w:val="00077523"/>
    <w:rsid w:val="000802A1"/>
    <w:rsid w:val="00084C71"/>
    <w:rsid w:val="00090ACB"/>
    <w:rsid w:val="00095858"/>
    <w:rsid w:val="00095D55"/>
    <w:rsid w:val="00097E60"/>
    <w:rsid w:val="000A46E6"/>
    <w:rsid w:val="000A4CB1"/>
    <w:rsid w:val="000C016B"/>
    <w:rsid w:val="000C089F"/>
    <w:rsid w:val="000C1D1C"/>
    <w:rsid w:val="000C20EA"/>
    <w:rsid w:val="000C27DF"/>
    <w:rsid w:val="000C3928"/>
    <w:rsid w:val="000C5E8E"/>
    <w:rsid w:val="000D3740"/>
    <w:rsid w:val="000E28D4"/>
    <w:rsid w:val="000E4FC4"/>
    <w:rsid w:val="000F13DB"/>
    <w:rsid w:val="000F4751"/>
    <w:rsid w:val="000F549D"/>
    <w:rsid w:val="000F8F97"/>
    <w:rsid w:val="0010524C"/>
    <w:rsid w:val="00111A90"/>
    <w:rsid w:val="00111FB1"/>
    <w:rsid w:val="00112DAE"/>
    <w:rsid w:val="00113418"/>
    <w:rsid w:val="00113966"/>
    <w:rsid w:val="00121D6A"/>
    <w:rsid w:val="00133AAD"/>
    <w:rsid w:val="001356F1"/>
    <w:rsid w:val="00136994"/>
    <w:rsid w:val="0013699A"/>
    <w:rsid w:val="0014128E"/>
    <w:rsid w:val="001430FD"/>
    <w:rsid w:val="00151888"/>
    <w:rsid w:val="00151F0F"/>
    <w:rsid w:val="0015305D"/>
    <w:rsid w:val="001558D0"/>
    <w:rsid w:val="00170A2D"/>
    <w:rsid w:val="001808BC"/>
    <w:rsid w:val="00182B81"/>
    <w:rsid w:val="0018619D"/>
    <w:rsid w:val="00197208"/>
    <w:rsid w:val="00197B52"/>
    <w:rsid w:val="001A011E"/>
    <w:rsid w:val="001A066A"/>
    <w:rsid w:val="001A13E6"/>
    <w:rsid w:val="001A200F"/>
    <w:rsid w:val="001A29A3"/>
    <w:rsid w:val="001A5731"/>
    <w:rsid w:val="001B42C3"/>
    <w:rsid w:val="001C266A"/>
    <w:rsid w:val="001C2F9C"/>
    <w:rsid w:val="001C3925"/>
    <w:rsid w:val="001C5B87"/>
    <w:rsid w:val="001C5D5E"/>
    <w:rsid w:val="001D0C31"/>
    <w:rsid w:val="001D678D"/>
    <w:rsid w:val="001E03F8"/>
    <w:rsid w:val="001E18CE"/>
    <w:rsid w:val="001E3376"/>
    <w:rsid w:val="001F4D76"/>
    <w:rsid w:val="002009AE"/>
    <w:rsid w:val="00203142"/>
    <w:rsid w:val="00205F79"/>
    <w:rsid w:val="002069B3"/>
    <w:rsid w:val="00214296"/>
    <w:rsid w:val="002329CF"/>
    <w:rsid w:val="00232F5B"/>
    <w:rsid w:val="00247C29"/>
    <w:rsid w:val="00260467"/>
    <w:rsid w:val="00261E69"/>
    <w:rsid w:val="0026382E"/>
    <w:rsid w:val="00263EA3"/>
    <w:rsid w:val="00264195"/>
    <w:rsid w:val="0027562B"/>
    <w:rsid w:val="0027683A"/>
    <w:rsid w:val="00280425"/>
    <w:rsid w:val="0028144C"/>
    <w:rsid w:val="002816C4"/>
    <w:rsid w:val="00283533"/>
    <w:rsid w:val="00284F85"/>
    <w:rsid w:val="00290915"/>
    <w:rsid w:val="002A22E2"/>
    <w:rsid w:val="002A367D"/>
    <w:rsid w:val="002A7371"/>
    <w:rsid w:val="002C1C8E"/>
    <w:rsid w:val="002C26E8"/>
    <w:rsid w:val="002C5331"/>
    <w:rsid w:val="002C64F7"/>
    <w:rsid w:val="002D4736"/>
    <w:rsid w:val="002D4940"/>
    <w:rsid w:val="002F41F2"/>
    <w:rsid w:val="00301BF3"/>
    <w:rsid w:val="00301E31"/>
    <w:rsid w:val="0030208D"/>
    <w:rsid w:val="00310006"/>
    <w:rsid w:val="003137CA"/>
    <w:rsid w:val="0032268D"/>
    <w:rsid w:val="00323418"/>
    <w:rsid w:val="00326B72"/>
    <w:rsid w:val="003330F2"/>
    <w:rsid w:val="003357BF"/>
    <w:rsid w:val="0034263A"/>
    <w:rsid w:val="00346FD2"/>
    <w:rsid w:val="00352736"/>
    <w:rsid w:val="00354ACE"/>
    <w:rsid w:val="00356A62"/>
    <w:rsid w:val="00357536"/>
    <w:rsid w:val="00363222"/>
    <w:rsid w:val="003638AE"/>
    <w:rsid w:val="00364FAD"/>
    <w:rsid w:val="0036700E"/>
    <w:rsid w:val="0036738F"/>
    <w:rsid w:val="0036759C"/>
    <w:rsid w:val="00367AE5"/>
    <w:rsid w:val="00367D71"/>
    <w:rsid w:val="00376F20"/>
    <w:rsid w:val="00380D98"/>
    <w:rsid w:val="0038150A"/>
    <w:rsid w:val="00390D59"/>
    <w:rsid w:val="00391190"/>
    <w:rsid w:val="003966C2"/>
    <w:rsid w:val="003A3951"/>
    <w:rsid w:val="003B1C46"/>
    <w:rsid w:val="003B6BC0"/>
    <w:rsid w:val="003B6E75"/>
    <w:rsid w:val="003B6EA0"/>
    <w:rsid w:val="003C03BB"/>
    <w:rsid w:val="003C0D94"/>
    <w:rsid w:val="003D0379"/>
    <w:rsid w:val="003D2574"/>
    <w:rsid w:val="003D4C59"/>
    <w:rsid w:val="003E2E12"/>
    <w:rsid w:val="003E6B4E"/>
    <w:rsid w:val="003E786C"/>
    <w:rsid w:val="003F097B"/>
    <w:rsid w:val="003F4267"/>
    <w:rsid w:val="00401A41"/>
    <w:rsid w:val="00403F6E"/>
    <w:rsid w:val="00404032"/>
    <w:rsid w:val="0040736F"/>
    <w:rsid w:val="00407BE4"/>
    <w:rsid w:val="00412C1F"/>
    <w:rsid w:val="004131CE"/>
    <w:rsid w:val="0041772B"/>
    <w:rsid w:val="00421CB2"/>
    <w:rsid w:val="004268B9"/>
    <w:rsid w:val="004318BA"/>
    <w:rsid w:val="00433B96"/>
    <w:rsid w:val="004341D1"/>
    <w:rsid w:val="0043757A"/>
    <w:rsid w:val="00442773"/>
    <w:rsid w:val="00442D47"/>
    <w:rsid w:val="004440F1"/>
    <w:rsid w:val="004456DD"/>
    <w:rsid w:val="00446914"/>
    <w:rsid w:val="00446CDF"/>
    <w:rsid w:val="004521B7"/>
    <w:rsid w:val="00452E0E"/>
    <w:rsid w:val="00454A7B"/>
    <w:rsid w:val="00454EF9"/>
    <w:rsid w:val="004609AE"/>
    <w:rsid w:val="004627A3"/>
    <w:rsid w:val="00462AB5"/>
    <w:rsid w:val="00465D51"/>
    <w:rsid w:val="00465EAF"/>
    <w:rsid w:val="00472F4B"/>
    <w:rsid w:val="004734E8"/>
    <w:rsid w:val="004738C5"/>
    <w:rsid w:val="00475E25"/>
    <w:rsid w:val="004826F5"/>
    <w:rsid w:val="00491046"/>
    <w:rsid w:val="00496FAD"/>
    <w:rsid w:val="004A2AC7"/>
    <w:rsid w:val="004A371B"/>
    <w:rsid w:val="004A5337"/>
    <w:rsid w:val="004A6D2F"/>
    <w:rsid w:val="004B1789"/>
    <w:rsid w:val="004B1BE9"/>
    <w:rsid w:val="004B348B"/>
    <w:rsid w:val="004B53B5"/>
    <w:rsid w:val="004C2887"/>
    <w:rsid w:val="004C2A19"/>
    <w:rsid w:val="004C51E3"/>
    <w:rsid w:val="004D2626"/>
    <w:rsid w:val="004D6E26"/>
    <w:rsid w:val="004D77D3"/>
    <w:rsid w:val="004E2959"/>
    <w:rsid w:val="004E48D6"/>
    <w:rsid w:val="004F20EF"/>
    <w:rsid w:val="004F24D8"/>
    <w:rsid w:val="004F3C63"/>
    <w:rsid w:val="0050321C"/>
    <w:rsid w:val="00507E93"/>
    <w:rsid w:val="00512B29"/>
    <w:rsid w:val="00515EC0"/>
    <w:rsid w:val="00516122"/>
    <w:rsid w:val="00533205"/>
    <w:rsid w:val="0054712D"/>
    <w:rsid w:val="005472F8"/>
    <w:rsid w:val="00547EF6"/>
    <w:rsid w:val="00551647"/>
    <w:rsid w:val="00551F9F"/>
    <w:rsid w:val="005570B5"/>
    <w:rsid w:val="005601CF"/>
    <w:rsid w:val="0056197F"/>
    <w:rsid w:val="00562C6C"/>
    <w:rsid w:val="00567E18"/>
    <w:rsid w:val="00572008"/>
    <w:rsid w:val="00573537"/>
    <w:rsid w:val="005744F9"/>
    <w:rsid w:val="00575F5F"/>
    <w:rsid w:val="00576DBB"/>
    <w:rsid w:val="00581805"/>
    <w:rsid w:val="00584746"/>
    <w:rsid w:val="00585660"/>
    <w:rsid w:val="00585F76"/>
    <w:rsid w:val="00585FEE"/>
    <w:rsid w:val="005962DE"/>
    <w:rsid w:val="005A2220"/>
    <w:rsid w:val="005A34E4"/>
    <w:rsid w:val="005A3C01"/>
    <w:rsid w:val="005B1150"/>
    <w:rsid w:val="005B17F2"/>
    <w:rsid w:val="005B2945"/>
    <w:rsid w:val="005B3123"/>
    <w:rsid w:val="005B7FB0"/>
    <w:rsid w:val="005C016E"/>
    <w:rsid w:val="005C3092"/>
    <w:rsid w:val="005C35A5"/>
    <w:rsid w:val="005C577C"/>
    <w:rsid w:val="005C591A"/>
    <w:rsid w:val="005D04A7"/>
    <w:rsid w:val="005D0621"/>
    <w:rsid w:val="005D1E27"/>
    <w:rsid w:val="005D5CD9"/>
    <w:rsid w:val="005E022E"/>
    <w:rsid w:val="005E5215"/>
    <w:rsid w:val="005E7B33"/>
    <w:rsid w:val="005F2F93"/>
    <w:rsid w:val="005F5586"/>
    <w:rsid w:val="005F7B84"/>
    <w:rsid w:val="005F7F7E"/>
    <w:rsid w:val="00600AC8"/>
    <w:rsid w:val="00614693"/>
    <w:rsid w:val="00620CF7"/>
    <w:rsid w:val="00623B5C"/>
    <w:rsid w:val="00623C2F"/>
    <w:rsid w:val="00632A88"/>
    <w:rsid w:val="00633578"/>
    <w:rsid w:val="00633EC9"/>
    <w:rsid w:val="00635943"/>
    <w:rsid w:val="00637068"/>
    <w:rsid w:val="00645B40"/>
    <w:rsid w:val="00650811"/>
    <w:rsid w:val="00661D3E"/>
    <w:rsid w:val="00670E48"/>
    <w:rsid w:val="0067165A"/>
    <w:rsid w:val="0067417F"/>
    <w:rsid w:val="00674DC6"/>
    <w:rsid w:val="006763BA"/>
    <w:rsid w:val="00680306"/>
    <w:rsid w:val="006814EA"/>
    <w:rsid w:val="0068185E"/>
    <w:rsid w:val="006820C5"/>
    <w:rsid w:val="00684893"/>
    <w:rsid w:val="00685730"/>
    <w:rsid w:val="00685A55"/>
    <w:rsid w:val="0069143B"/>
    <w:rsid w:val="0069158F"/>
    <w:rsid w:val="00691A06"/>
    <w:rsid w:val="00692627"/>
    <w:rsid w:val="006926DE"/>
    <w:rsid w:val="006969E7"/>
    <w:rsid w:val="006A0186"/>
    <w:rsid w:val="006A3643"/>
    <w:rsid w:val="006B16C2"/>
    <w:rsid w:val="006B1868"/>
    <w:rsid w:val="006B5F89"/>
    <w:rsid w:val="006C0412"/>
    <w:rsid w:val="006C1A5A"/>
    <w:rsid w:val="006C2A29"/>
    <w:rsid w:val="006C64CF"/>
    <w:rsid w:val="006D17B1"/>
    <w:rsid w:val="006D5B3D"/>
    <w:rsid w:val="006D708A"/>
    <w:rsid w:val="006D7CFB"/>
    <w:rsid w:val="006E14C1"/>
    <w:rsid w:val="006F0292"/>
    <w:rsid w:val="006F1019"/>
    <w:rsid w:val="006F172E"/>
    <w:rsid w:val="006F3C32"/>
    <w:rsid w:val="006F416B"/>
    <w:rsid w:val="006F519B"/>
    <w:rsid w:val="00700DE1"/>
    <w:rsid w:val="00713675"/>
    <w:rsid w:val="00714064"/>
    <w:rsid w:val="00715240"/>
    <w:rsid w:val="00715823"/>
    <w:rsid w:val="00715DAD"/>
    <w:rsid w:val="00715E38"/>
    <w:rsid w:val="00715F72"/>
    <w:rsid w:val="007170D9"/>
    <w:rsid w:val="0072244D"/>
    <w:rsid w:val="00737B93"/>
    <w:rsid w:val="007418F6"/>
    <w:rsid w:val="00743A99"/>
    <w:rsid w:val="00745BF0"/>
    <w:rsid w:val="00751B82"/>
    <w:rsid w:val="00757893"/>
    <w:rsid w:val="007615FE"/>
    <w:rsid w:val="0076370E"/>
    <w:rsid w:val="0076381C"/>
    <w:rsid w:val="0076655C"/>
    <w:rsid w:val="007742DC"/>
    <w:rsid w:val="00774B7C"/>
    <w:rsid w:val="0078733D"/>
    <w:rsid w:val="00791437"/>
    <w:rsid w:val="00792099"/>
    <w:rsid w:val="00794125"/>
    <w:rsid w:val="00797C16"/>
    <w:rsid w:val="007A10C9"/>
    <w:rsid w:val="007A1E27"/>
    <w:rsid w:val="007A4FC1"/>
    <w:rsid w:val="007A6826"/>
    <w:rsid w:val="007B0C2C"/>
    <w:rsid w:val="007B278E"/>
    <w:rsid w:val="007B4926"/>
    <w:rsid w:val="007B6C2C"/>
    <w:rsid w:val="007B7BA5"/>
    <w:rsid w:val="007C033A"/>
    <w:rsid w:val="007C1201"/>
    <w:rsid w:val="007C27D9"/>
    <w:rsid w:val="007C3254"/>
    <w:rsid w:val="007C5C23"/>
    <w:rsid w:val="007D463D"/>
    <w:rsid w:val="007E2A26"/>
    <w:rsid w:val="007F2348"/>
    <w:rsid w:val="007F6C22"/>
    <w:rsid w:val="00802A3D"/>
    <w:rsid w:val="00803F07"/>
    <w:rsid w:val="008058E8"/>
    <w:rsid w:val="0080749A"/>
    <w:rsid w:val="008150E0"/>
    <w:rsid w:val="00821AAF"/>
    <w:rsid w:val="00821FB8"/>
    <w:rsid w:val="00822ACD"/>
    <w:rsid w:val="0082437C"/>
    <w:rsid w:val="0082675E"/>
    <w:rsid w:val="00826C77"/>
    <w:rsid w:val="00827172"/>
    <w:rsid w:val="0083796C"/>
    <w:rsid w:val="0084235C"/>
    <w:rsid w:val="008529A9"/>
    <w:rsid w:val="008548BC"/>
    <w:rsid w:val="00855C66"/>
    <w:rsid w:val="00855EF0"/>
    <w:rsid w:val="008565C3"/>
    <w:rsid w:val="0087139C"/>
    <w:rsid w:val="00871EE4"/>
    <w:rsid w:val="0087253B"/>
    <w:rsid w:val="0087405F"/>
    <w:rsid w:val="0087544F"/>
    <w:rsid w:val="00877671"/>
    <w:rsid w:val="008814A1"/>
    <w:rsid w:val="008A1688"/>
    <w:rsid w:val="008A1B14"/>
    <w:rsid w:val="008A255D"/>
    <w:rsid w:val="008A3A94"/>
    <w:rsid w:val="008A4326"/>
    <w:rsid w:val="008A5C02"/>
    <w:rsid w:val="008A64A7"/>
    <w:rsid w:val="008B1476"/>
    <w:rsid w:val="008B293F"/>
    <w:rsid w:val="008B50B2"/>
    <w:rsid w:val="008B7371"/>
    <w:rsid w:val="008D1F0A"/>
    <w:rsid w:val="008D3DDB"/>
    <w:rsid w:val="008D4024"/>
    <w:rsid w:val="008D56A5"/>
    <w:rsid w:val="008D7C03"/>
    <w:rsid w:val="008E1921"/>
    <w:rsid w:val="008F5418"/>
    <w:rsid w:val="008F573F"/>
    <w:rsid w:val="008F7F36"/>
    <w:rsid w:val="009034EC"/>
    <w:rsid w:val="00914958"/>
    <w:rsid w:val="0092044C"/>
    <w:rsid w:val="009212DA"/>
    <w:rsid w:val="00921734"/>
    <w:rsid w:val="0093067A"/>
    <w:rsid w:val="00930AC8"/>
    <w:rsid w:val="009349FC"/>
    <w:rsid w:val="00941C60"/>
    <w:rsid w:val="00947248"/>
    <w:rsid w:val="0094745F"/>
    <w:rsid w:val="00952377"/>
    <w:rsid w:val="0095263C"/>
    <w:rsid w:val="00954D4E"/>
    <w:rsid w:val="00956C6F"/>
    <w:rsid w:val="00961DDD"/>
    <w:rsid w:val="00966D42"/>
    <w:rsid w:val="00971689"/>
    <w:rsid w:val="00971A92"/>
    <w:rsid w:val="00973E90"/>
    <w:rsid w:val="00975B07"/>
    <w:rsid w:val="00980B4A"/>
    <w:rsid w:val="00980F31"/>
    <w:rsid w:val="00985E5A"/>
    <w:rsid w:val="00991D87"/>
    <w:rsid w:val="00997B7D"/>
    <w:rsid w:val="009A3409"/>
    <w:rsid w:val="009A570E"/>
    <w:rsid w:val="009B2FA2"/>
    <w:rsid w:val="009B45F9"/>
    <w:rsid w:val="009C6AB3"/>
    <w:rsid w:val="009D0E0E"/>
    <w:rsid w:val="009D320E"/>
    <w:rsid w:val="009D4E6B"/>
    <w:rsid w:val="009E1FD7"/>
    <w:rsid w:val="009E3D0A"/>
    <w:rsid w:val="009E51FC"/>
    <w:rsid w:val="009F1D28"/>
    <w:rsid w:val="009F7618"/>
    <w:rsid w:val="00A04D23"/>
    <w:rsid w:val="00A06766"/>
    <w:rsid w:val="00A10A92"/>
    <w:rsid w:val="00A1338D"/>
    <w:rsid w:val="00A13765"/>
    <w:rsid w:val="00A15C0D"/>
    <w:rsid w:val="00A1797A"/>
    <w:rsid w:val="00A2126B"/>
    <w:rsid w:val="00A21B12"/>
    <w:rsid w:val="00A23F80"/>
    <w:rsid w:val="00A245EF"/>
    <w:rsid w:val="00A24E2F"/>
    <w:rsid w:val="00A277E2"/>
    <w:rsid w:val="00A3168E"/>
    <w:rsid w:val="00A37EDB"/>
    <w:rsid w:val="00A4418F"/>
    <w:rsid w:val="00A44635"/>
    <w:rsid w:val="00A44EE7"/>
    <w:rsid w:val="00A46E98"/>
    <w:rsid w:val="00A61A8E"/>
    <w:rsid w:val="00A6352B"/>
    <w:rsid w:val="00A66853"/>
    <w:rsid w:val="00A701B5"/>
    <w:rsid w:val="00A71304"/>
    <w:rsid w:val="00A714BB"/>
    <w:rsid w:val="00A72C2C"/>
    <w:rsid w:val="00A73871"/>
    <w:rsid w:val="00A840B6"/>
    <w:rsid w:val="00A90FBA"/>
    <w:rsid w:val="00A92CE1"/>
    <w:rsid w:val="00A92D8F"/>
    <w:rsid w:val="00A94265"/>
    <w:rsid w:val="00AB1560"/>
    <w:rsid w:val="00AB249C"/>
    <w:rsid w:val="00AB2988"/>
    <w:rsid w:val="00AB7999"/>
    <w:rsid w:val="00AC7231"/>
    <w:rsid w:val="00AD3292"/>
    <w:rsid w:val="00AE2985"/>
    <w:rsid w:val="00AE5AD0"/>
    <w:rsid w:val="00AE7AF0"/>
    <w:rsid w:val="00B01697"/>
    <w:rsid w:val="00B1239D"/>
    <w:rsid w:val="00B254D7"/>
    <w:rsid w:val="00B31588"/>
    <w:rsid w:val="00B44C15"/>
    <w:rsid w:val="00B500CA"/>
    <w:rsid w:val="00B558E1"/>
    <w:rsid w:val="00B56CCA"/>
    <w:rsid w:val="00B748C1"/>
    <w:rsid w:val="00B7799F"/>
    <w:rsid w:val="00B86314"/>
    <w:rsid w:val="00B86868"/>
    <w:rsid w:val="00B9326A"/>
    <w:rsid w:val="00B94E4A"/>
    <w:rsid w:val="00B951F8"/>
    <w:rsid w:val="00B95D6C"/>
    <w:rsid w:val="00B97A28"/>
    <w:rsid w:val="00BA1C2E"/>
    <w:rsid w:val="00BA5D89"/>
    <w:rsid w:val="00BB17B3"/>
    <w:rsid w:val="00BB4EBD"/>
    <w:rsid w:val="00BB52FC"/>
    <w:rsid w:val="00BB6197"/>
    <w:rsid w:val="00BC200B"/>
    <w:rsid w:val="00BC4756"/>
    <w:rsid w:val="00BC69A4"/>
    <w:rsid w:val="00BE0680"/>
    <w:rsid w:val="00BE305F"/>
    <w:rsid w:val="00BE7BA3"/>
    <w:rsid w:val="00BE7BB6"/>
    <w:rsid w:val="00BF353C"/>
    <w:rsid w:val="00BF5682"/>
    <w:rsid w:val="00BF7B09"/>
    <w:rsid w:val="00C02588"/>
    <w:rsid w:val="00C03B6A"/>
    <w:rsid w:val="00C06A50"/>
    <w:rsid w:val="00C07143"/>
    <w:rsid w:val="00C07A67"/>
    <w:rsid w:val="00C1120D"/>
    <w:rsid w:val="00C12CCE"/>
    <w:rsid w:val="00C13231"/>
    <w:rsid w:val="00C13C26"/>
    <w:rsid w:val="00C14FB4"/>
    <w:rsid w:val="00C15EFF"/>
    <w:rsid w:val="00C20A95"/>
    <w:rsid w:val="00C210F2"/>
    <w:rsid w:val="00C2692F"/>
    <w:rsid w:val="00C30EE4"/>
    <w:rsid w:val="00C3207C"/>
    <w:rsid w:val="00C361C7"/>
    <w:rsid w:val="00C400E1"/>
    <w:rsid w:val="00C41187"/>
    <w:rsid w:val="00C4257C"/>
    <w:rsid w:val="00C43A17"/>
    <w:rsid w:val="00C628B7"/>
    <w:rsid w:val="00C63C31"/>
    <w:rsid w:val="00C67527"/>
    <w:rsid w:val="00C740CF"/>
    <w:rsid w:val="00C757A0"/>
    <w:rsid w:val="00C760BC"/>
    <w:rsid w:val="00C760DE"/>
    <w:rsid w:val="00C82630"/>
    <w:rsid w:val="00C82FC1"/>
    <w:rsid w:val="00C84936"/>
    <w:rsid w:val="00C85B4E"/>
    <w:rsid w:val="00C907F7"/>
    <w:rsid w:val="00CA2103"/>
    <w:rsid w:val="00CA2869"/>
    <w:rsid w:val="00CB10AE"/>
    <w:rsid w:val="00CB5148"/>
    <w:rsid w:val="00CB6B99"/>
    <w:rsid w:val="00CD1414"/>
    <w:rsid w:val="00CD7C01"/>
    <w:rsid w:val="00CE0C8C"/>
    <w:rsid w:val="00CE11AE"/>
    <w:rsid w:val="00CE4C87"/>
    <w:rsid w:val="00CE544A"/>
    <w:rsid w:val="00CF0F13"/>
    <w:rsid w:val="00CF63B3"/>
    <w:rsid w:val="00D00315"/>
    <w:rsid w:val="00D05FF3"/>
    <w:rsid w:val="00D11E1C"/>
    <w:rsid w:val="00D12BA3"/>
    <w:rsid w:val="00D160B0"/>
    <w:rsid w:val="00D17F94"/>
    <w:rsid w:val="00D20063"/>
    <w:rsid w:val="00D20128"/>
    <w:rsid w:val="00D223FC"/>
    <w:rsid w:val="00D22D3B"/>
    <w:rsid w:val="00D25FA9"/>
    <w:rsid w:val="00D26D1E"/>
    <w:rsid w:val="00D315A6"/>
    <w:rsid w:val="00D37672"/>
    <w:rsid w:val="00D42F25"/>
    <w:rsid w:val="00D474CF"/>
    <w:rsid w:val="00D50583"/>
    <w:rsid w:val="00D522C1"/>
    <w:rsid w:val="00D5547E"/>
    <w:rsid w:val="00D5762D"/>
    <w:rsid w:val="00D60503"/>
    <w:rsid w:val="00D629A4"/>
    <w:rsid w:val="00D6683E"/>
    <w:rsid w:val="00D66940"/>
    <w:rsid w:val="00D700D5"/>
    <w:rsid w:val="00D73CCF"/>
    <w:rsid w:val="00D855EE"/>
    <w:rsid w:val="00D90A28"/>
    <w:rsid w:val="00DA32DD"/>
    <w:rsid w:val="00DA413F"/>
    <w:rsid w:val="00DA4584"/>
    <w:rsid w:val="00DA614B"/>
    <w:rsid w:val="00DA7780"/>
    <w:rsid w:val="00DB4B5D"/>
    <w:rsid w:val="00DC3060"/>
    <w:rsid w:val="00DC5219"/>
    <w:rsid w:val="00DD1CED"/>
    <w:rsid w:val="00DD2FED"/>
    <w:rsid w:val="00DD3304"/>
    <w:rsid w:val="00DD5441"/>
    <w:rsid w:val="00DE0FB2"/>
    <w:rsid w:val="00DE59DA"/>
    <w:rsid w:val="00DF093E"/>
    <w:rsid w:val="00DF1204"/>
    <w:rsid w:val="00E01AED"/>
    <w:rsid w:val="00E01F42"/>
    <w:rsid w:val="00E11613"/>
    <w:rsid w:val="00E12C26"/>
    <w:rsid w:val="00E16E7F"/>
    <w:rsid w:val="00E206D6"/>
    <w:rsid w:val="00E22DE2"/>
    <w:rsid w:val="00E24C91"/>
    <w:rsid w:val="00E3366E"/>
    <w:rsid w:val="00E47DE7"/>
    <w:rsid w:val="00E5126A"/>
    <w:rsid w:val="00E51D5E"/>
    <w:rsid w:val="00E52086"/>
    <w:rsid w:val="00E543A6"/>
    <w:rsid w:val="00E60479"/>
    <w:rsid w:val="00E61543"/>
    <w:rsid w:val="00E61D73"/>
    <w:rsid w:val="00E671BE"/>
    <w:rsid w:val="00E71434"/>
    <w:rsid w:val="00E72F6D"/>
    <w:rsid w:val="00E73684"/>
    <w:rsid w:val="00E73F58"/>
    <w:rsid w:val="00E77029"/>
    <w:rsid w:val="00E7772E"/>
    <w:rsid w:val="00E818D6"/>
    <w:rsid w:val="00E83A44"/>
    <w:rsid w:val="00E87F7A"/>
    <w:rsid w:val="00E96BD7"/>
    <w:rsid w:val="00EA0DB1"/>
    <w:rsid w:val="00EA0EE9"/>
    <w:rsid w:val="00EB0986"/>
    <w:rsid w:val="00EB1D5B"/>
    <w:rsid w:val="00EB2185"/>
    <w:rsid w:val="00EB325B"/>
    <w:rsid w:val="00EC2A88"/>
    <w:rsid w:val="00EC3254"/>
    <w:rsid w:val="00EC37A9"/>
    <w:rsid w:val="00EC3B1D"/>
    <w:rsid w:val="00EC6368"/>
    <w:rsid w:val="00ED3E0A"/>
    <w:rsid w:val="00ED52CA"/>
    <w:rsid w:val="00ED5860"/>
    <w:rsid w:val="00ED724B"/>
    <w:rsid w:val="00ED7EC8"/>
    <w:rsid w:val="00EE09C3"/>
    <w:rsid w:val="00EE35C9"/>
    <w:rsid w:val="00EE75C5"/>
    <w:rsid w:val="00EF387D"/>
    <w:rsid w:val="00F04FE4"/>
    <w:rsid w:val="00F05E43"/>
    <w:rsid w:val="00F05ECA"/>
    <w:rsid w:val="00F12277"/>
    <w:rsid w:val="00F22EA7"/>
    <w:rsid w:val="00F25C22"/>
    <w:rsid w:val="00F26341"/>
    <w:rsid w:val="00F3566E"/>
    <w:rsid w:val="00F375FB"/>
    <w:rsid w:val="00F41251"/>
    <w:rsid w:val="00F41AC1"/>
    <w:rsid w:val="00F4257B"/>
    <w:rsid w:val="00F4367A"/>
    <w:rsid w:val="00F445B1"/>
    <w:rsid w:val="00F45CD4"/>
    <w:rsid w:val="00F537E0"/>
    <w:rsid w:val="00F60118"/>
    <w:rsid w:val="00F60309"/>
    <w:rsid w:val="00F627CE"/>
    <w:rsid w:val="00F62D6C"/>
    <w:rsid w:val="00F6541B"/>
    <w:rsid w:val="00F659DE"/>
    <w:rsid w:val="00F66DCA"/>
    <w:rsid w:val="00F74F53"/>
    <w:rsid w:val="00F755A0"/>
    <w:rsid w:val="00F7606D"/>
    <w:rsid w:val="00F761D4"/>
    <w:rsid w:val="00F8037F"/>
    <w:rsid w:val="00F81670"/>
    <w:rsid w:val="00F82024"/>
    <w:rsid w:val="00F8248F"/>
    <w:rsid w:val="00F85224"/>
    <w:rsid w:val="00F86E1E"/>
    <w:rsid w:val="00F87DF6"/>
    <w:rsid w:val="00F90BF8"/>
    <w:rsid w:val="00F913EC"/>
    <w:rsid w:val="00F944F0"/>
    <w:rsid w:val="00F95BC9"/>
    <w:rsid w:val="00FA026E"/>
    <w:rsid w:val="00FA162F"/>
    <w:rsid w:val="00FA624C"/>
    <w:rsid w:val="00FB064E"/>
    <w:rsid w:val="00FB15E5"/>
    <w:rsid w:val="00FB6C4B"/>
    <w:rsid w:val="00FD0124"/>
    <w:rsid w:val="00FD0FAC"/>
    <w:rsid w:val="00FD1DFA"/>
    <w:rsid w:val="00FD322D"/>
    <w:rsid w:val="00FD3B05"/>
    <w:rsid w:val="00FD4966"/>
    <w:rsid w:val="00FE01B5"/>
    <w:rsid w:val="00FE09E0"/>
    <w:rsid w:val="00FE4839"/>
    <w:rsid w:val="00FE57DC"/>
    <w:rsid w:val="00FE6578"/>
    <w:rsid w:val="00FF0EE1"/>
    <w:rsid w:val="00FF373E"/>
    <w:rsid w:val="00FF5944"/>
    <w:rsid w:val="00FF6305"/>
    <w:rsid w:val="00FF6CCA"/>
    <w:rsid w:val="00FF7C7A"/>
    <w:rsid w:val="0101C98B"/>
    <w:rsid w:val="013AC284"/>
    <w:rsid w:val="02A6DCA5"/>
    <w:rsid w:val="033F803C"/>
    <w:rsid w:val="0483E116"/>
    <w:rsid w:val="05DE7D67"/>
    <w:rsid w:val="074E58B5"/>
    <w:rsid w:val="0861F641"/>
    <w:rsid w:val="0967F9D1"/>
    <w:rsid w:val="0B491297"/>
    <w:rsid w:val="0BA547D4"/>
    <w:rsid w:val="0BC47418"/>
    <w:rsid w:val="0EDE5042"/>
    <w:rsid w:val="0F9806DD"/>
    <w:rsid w:val="1116B3CD"/>
    <w:rsid w:val="12DAB751"/>
    <w:rsid w:val="1344E699"/>
    <w:rsid w:val="148CBAB7"/>
    <w:rsid w:val="155D98DF"/>
    <w:rsid w:val="156B565E"/>
    <w:rsid w:val="16D5EBA6"/>
    <w:rsid w:val="1880F33D"/>
    <w:rsid w:val="18E58095"/>
    <w:rsid w:val="1AA46DB6"/>
    <w:rsid w:val="1B2A32B1"/>
    <w:rsid w:val="1BAB63BE"/>
    <w:rsid w:val="1DD720E2"/>
    <w:rsid w:val="1EB225E0"/>
    <w:rsid w:val="2230B109"/>
    <w:rsid w:val="23799A09"/>
    <w:rsid w:val="261D38EB"/>
    <w:rsid w:val="2824A538"/>
    <w:rsid w:val="2D33BEFE"/>
    <w:rsid w:val="2D9C103F"/>
    <w:rsid w:val="2E4DFE46"/>
    <w:rsid w:val="2EF85EFC"/>
    <w:rsid w:val="2F0608FC"/>
    <w:rsid w:val="2F1CADB2"/>
    <w:rsid w:val="31859F08"/>
    <w:rsid w:val="322FFFBE"/>
    <w:rsid w:val="32E1167B"/>
    <w:rsid w:val="3379FF0F"/>
    <w:rsid w:val="33DADA58"/>
    <w:rsid w:val="342593ED"/>
    <w:rsid w:val="34574A68"/>
    <w:rsid w:val="34BD3FCA"/>
    <w:rsid w:val="37F4E08C"/>
    <w:rsid w:val="3807AB2F"/>
    <w:rsid w:val="39B40098"/>
    <w:rsid w:val="3A63763B"/>
    <w:rsid w:val="3B7AE9C0"/>
    <w:rsid w:val="3BF67273"/>
    <w:rsid w:val="3CEA2146"/>
    <w:rsid w:val="3D158B31"/>
    <w:rsid w:val="3E263EC4"/>
    <w:rsid w:val="3F1BC81F"/>
    <w:rsid w:val="403F6375"/>
    <w:rsid w:val="40875099"/>
    <w:rsid w:val="410A6381"/>
    <w:rsid w:val="41A3B058"/>
    <w:rsid w:val="4200A300"/>
    <w:rsid w:val="436F0542"/>
    <w:rsid w:val="43997BBD"/>
    <w:rsid w:val="44B76E5F"/>
    <w:rsid w:val="44F93980"/>
    <w:rsid w:val="45354C1E"/>
    <w:rsid w:val="46519C43"/>
    <w:rsid w:val="4706DB72"/>
    <w:rsid w:val="47BB3AF7"/>
    <w:rsid w:val="4812F1DC"/>
    <w:rsid w:val="49BD110F"/>
    <w:rsid w:val="4B4A929E"/>
    <w:rsid w:val="4C3FC76E"/>
    <w:rsid w:val="4EEA9C1C"/>
    <w:rsid w:val="4FCFF157"/>
    <w:rsid w:val="50866C7D"/>
    <w:rsid w:val="547F8073"/>
    <w:rsid w:val="54B521FA"/>
    <w:rsid w:val="56992DDF"/>
    <w:rsid w:val="578628AA"/>
    <w:rsid w:val="5C9EFEF5"/>
    <w:rsid w:val="5CA3FFDA"/>
    <w:rsid w:val="60FBA7AF"/>
    <w:rsid w:val="62E73697"/>
    <w:rsid w:val="681392E5"/>
    <w:rsid w:val="6A834A10"/>
    <w:rsid w:val="6B024671"/>
    <w:rsid w:val="6B084035"/>
    <w:rsid w:val="6EED17F4"/>
    <w:rsid w:val="6F24C081"/>
    <w:rsid w:val="7088E855"/>
    <w:rsid w:val="70BFB7CE"/>
    <w:rsid w:val="70C7814E"/>
    <w:rsid w:val="73F6CFE3"/>
    <w:rsid w:val="7445B198"/>
    <w:rsid w:val="76C2F92E"/>
    <w:rsid w:val="76DC6327"/>
    <w:rsid w:val="778951F2"/>
    <w:rsid w:val="78C8BD09"/>
    <w:rsid w:val="7DEC93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38241"/>
  <w15:docId w15:val="{3B1BA24B-F37F-4E0E-BBD0-2FD3EA0E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ooterChar">
    <w:name w:val="Footer Char"/>
    <w:aliases w:val="zzFooter Char"/>
    <w:basedOn w:val="DefaultParagraphFont"/>
    <w:link w:val="Footer"/>
    <w:uiPriority w:val="99"/>
    <w:rsid w:val="00C07143"/>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sChild>
        <w:div w:id="1272668217">
          <w:marLeft w:val="0"/>
          <w:marRight w:val="0"/>
          <w:marTop w:val="0"/>
          <w:marBottom w:val="0"/>
          <w:divBdr>
            <w:top w:val="none" w:sz="0" w:space="0" w:color="auto"/>
            <w:left w:val="none" w:sz="0" w:space="0" w:color="auto"/>
            <w:bottom w:val="none" w:sz="0" w:space="0" w:color="auto"/>
            <w:right w:val="none" w:sz="0" w:space="0" w:color="auto"/>
          </w:divBdr>
        </w:div>
        <w:div w:id="1286695163">
          <w:marLeft w:val="0"/>
          <w:marRight w:val="0"/>
          <w:marTop w:val="0"/>
          <w:marBottom w:val="0"/>
          <w:divBdr>
            <w:top w:val="none" w:sz="0" w:space="0" w:color="auto"/>
            <w:left w:val="none" w:sz="0" w:space="0" w:color="auto"/>
            <w:bottom w:val="none" w:sz="0" w:space="0" w:color="auto"/>
            <w:right w:val="none" w:sz="0" w:space="0" w:color="auto"/>
          </w:divBdr>
        </w:div>
        <w:div w:id="1445538218">
          <w:marLeft w:val="0"/>
          <w:marRight w:val="0"/>
          <w:marTop w:val="0"/>
          <w:marBottom w:val="0"/>
          <w:divBdr>
            <w:top w:val="none" w:sz="0" w:space="0" w:color="auto"/>
            <w:left w:val="none" w:sz="0" w:space="0" w:color="auto"/>
            <w:bottom w:val="none" w:sz="0" w:space="0" w:color="auto"/>
            <w:right w:val="none" w:sz="0" w:space="0" w:color="auto"/>
          </w:divBdr>
          <w:divsChild>
            <w:div w:id="640043873">
              <w:marLeft w:val="0"/>
              <w:marRight w:val="0"/>
              <w:marTop w:val="30"/>
              <w:marBottom w:val="30"/>
              <w:divBdr>
                <w:top w:val="none" w:sz="0" w:space="0" w:color="auto"/>
                <w:left w:val="none" w:sz="0" w:space="0" w:color="auto"/>
                <w:bottom w:val="none" w:sz="0" w:space="0" w:color="auto"/>
                <w:right w:val="none" w:sz="0" w:space="0" w:color="auto"/>
              </w:divBdr>
              <w:divsChild>
                <w:div w:id="7950956">
                  <w:marLeft w:val="0"/>
                  <w:marRight w:val="0"/>
                  <w:marTop w:val="0"/>
                  <w:marBottom w:val="0"/>
                  <w:divBdr>
                    <w:top w:val="none" w:sz="0" w:space="0" w:color="auto"/>
                    <w:left w:val="none" w:sz="0" w:space="0" w:color="auto"/>
                    <w:bottom w:val="none" w:sz="0" w:space="0" w:color="auto"/>
                    <w:right w:val="none" w:sz="0" w:space="0" w:color="auto"/>
                  </w:divBdr>
                  <w:divsChild>
                    <w:div w:id="422535892">
                      <w:marLeft w:val="0"/>
                      <w:marRight w:val="0"/>
                      <w:marTop w:val="0"/>
                      <w:marBottom w:val="0"/>
                      <w:divBdr>
                        <w:top w:val="none" w:sz="0" w:space="0" w:color="auto"/>
                        <w:left w:val="none" w:sz="0" w:space="0" w:color="auto"/>
                        <w:bottom w:val="none" w:sz="0" w:space="0" w:color="auto"/>
                        <w:right w:val="none" w:sz="0" w:space="0" w:color="auto"/>
                      </w:divBdr>
                    </w:div>
                  </w:divsChild>
                </w:div>
                <w:div w:id="92869079">
                  <w:marLeft w:val="0"/>
                  <w:marRight w:val="0"/>
                  <w:marTop w:val="0"/>
                  <w:marBottom w:val="0"/>
                  <w:divBdr>
                    <w:top w:val="none" w:sz="0" w:space="0" w:color="auto"/>
                    <w:left w:val="none" w:sz="0" w:space="0" w:color="auto"/>
                    <w:bottom w:val="none" w:sz="0" w:space="0" w:color="auto"/>
                    <w:right w:val="none" w:sz="0" w:space="0" w:color="auto"/>
                  </w:divBdr>
                  <w:divsChild>
                    <w:div w:id="34087048">
                      <w:marLeft w:val="0"/>
                      <w:marRight w:val="0"/>
                      <w:marTop w:val="0"/>
                      <w:marBottom w:val="0"/>
                      <w:divBdr>
                        <w:top w:val="none" w:sz="0" w:space="0" w:color="auto"/>
                        <w:left w:val="none" w:sz="0" w:space="0" w:color="auto"/>
                        <w:bottom w:val="none" w:sz="0" w:space="0" w:color="auto"/>
                        <w:right w:val="none" w:sz="0" w:space="0" w:color="auto"/>
                      </w:divBdr>
                    </w:div>
                  </w:divsChild>
                </w:div>
                <w:div w:id="216819043">
                  <w:marLeft w:val="0"/>
                  <w:marRight w:val="0"/>
                  <w:marTop w:val="0"/>
                  <w:marBottom w:val="0"/>
                  <w:divBdr>
                    <w:top w:val="none" w:sz="0" w:space="0" w:color="auto"/>
                    <w:left w:val="none" w:sz="0" w:space="0" w:color="auto"/>
                    <w:bottom w:val="none" w:sz="0" w:space="0" w:color="auto"/>
                    <w:right w:val="none" w:sz="0" w:space="0" w:color="auto"/>
                  </w:divBdr>
                  <w:divsChild>
                    <w:div w:id="2011979903">
                      <w:marLeft w:val="0"/>
                      <w:marRight w:val="0"/>
                      <w:marTop w:val="0"/>
                      <w:marBottom w:val="0"/>
                      <w:divBdr>
                        <w:top w:val="none" w:sz="0" w:space="0" w:color="auto"/>
                        <w:left w:val="none" w:sz="0" w:space="0" w:color="auto"/>
                        <w:bottom w:val="none" w:sz="0" w:space="0" w:color="auto"/>
                        <w:right w:val="none" w:sz="0" w:space="0" w:color="auto"/>
                      </w:divBdr>
                    </w:div>
                  </w:divsChild>
                </w:div>
                <w:div w:id="252931256">
                  <w:marLeft w:val="0"/>
                  <w:marRight w:val="0"/>
                  <w:marTop w:val="0"/>
                  <w:marBottom w:val="0"/>
                  <w:divBdr>
                    <w:top w:val="none" w:sz="0" w:space="0" w:color="auto"/>
                    <w:left w:val="none" w:sz="0" w:space="0" w:color="auto"/>
                    <w:bottom w:val="none" w:sz="0" w:space="0" w:color="auto"/>
                    <w:right w:val="none" w:sz="0" w:space="0" w:color="auto"/>
                  </w:divBdr>
                  <w:divsChild>
                    <w:div w:id="2145342290">
                      <w:marLeft w:val="0"/>
                      <w:marRight w:val="0"/>
                      <w:marTop w:val="0"/>
                      <w:marBottom w:val="0"/>
                      <w:divBdr>
                        <w:top w:val="none" w:sz="0" w:space="0" w:color="auto"/>
                        <w:left w:val="none" w:sz="0" w:space="0" w:color="auto"/>
                        <w:bottom w:val="none" w:sz="0" w:space="0" w:color="auto"/>
                        <w:right w:val="none" w:sz="0" w:space="0" w:color="auto"/>
                      </w:divBdr>
                    </w:div>
                  </w:divsChild>
                </w:div>
                <w:div w:id="296420729">
                  <w:marLeft w:val="0"/>
                  <w:marRight w:val="0"/>
                  <w:marTop w:val="0"/>
                  <w:marBottom w:val="0"/>
                  <w:divBdr>
                    <w:top w:val="none" w:sz="0" w:space="0" w:color="auto"/>
                    <w:left w:val="none" w:sz="0" w:space="0" w:color="auto"/>
                    <w:bottom w:val="none" w:sz="0" w:space="0" w:color="auto"/>
                    <w:right w:val="none" w:sz="0" w:space="0" w:color="auto"/>
                  </w:divBdr>
                  <w:divsChild>
                    <w:div w:id="218588718">
                      <w:marLeft w:val="0"/>
                      <w:marRight w:val="0"/>
                      <w:marTop w:val="0"/>
                      <w:marBottom w:val="0"/>
                      <w:divBdr>
                        <w:top w:val="none" w:sz="0" w:space="0" w:color="auto"/>
                        <w:left w:val="none" w:sz="0" w:space="0" w:color="auto"/>
                        <w:bottom w:val="none" w:sz="0" w:space="0" w:color="auto"/>
                        <w:right w:val="none" w:sz="0" w:space="0" w:color="auto"/>
                      </w:divBdr>
                    </w:div>
                  </w:divsChild>
                </w:div>
                <w:div w:id="416486108">
                  <w:marLeft w:val="0"/>
                  <w:marRight w:val="0"/>
                  <w:marTop w:val="0"/>
                  <w:marBottom w:val="0"/>
                  <w:divBdr>
                    <w:top w:val="none" w:sz="0" w:space="0" w:color="auto"/>
                    <w:left w:val="none" w:sz="0" w:space="0" w:color="auto"/>
                    <w:bottom w:val="none" w:sz="0" w:space="0" w:color="auto"/>
                    <w:right w:val="none" w:sz="0" w:space="0" w:color="auto"/>
                  </w:divBdr>
                  <w:divsChild>
                    <w:div w:id="2144955143">
                      <w:marLeft w:val="0"/>
                      <w:marRight w:val="0"/>
                      <w:marTop w:val="0"/>
                      <w:marBottom w:val="0"/>
                      <w:divBdr>
                        <w:top w:val="none" w:sz="0" w:space="0" w:color="auto"/>
                        <w:left w:val="none" w:sz="0" w:space="0" w:color="auto"/>
                        <w:bottom w:val="none" w:sz="0" w:space="0" w:color="auto"/>
                        <w:right w:val="none" w:sz="0" w:space="0" w:color="auto"/>
                      </w:divBdr>
                    </w:div>
                  </w:divsChild>
                </w:div>
                <w:div w:id="542181104">
                  <w:marLeft w:val="0"/>
                  <w:marRight w:val="0"/>
                  <w:marTop w:val="0"/>
                  <w:marBottom w:val="0"/>
                  <w:divBdr>
                    <w:top w:val="none" w:sz="0" w:space="0" w:color="auto"/>
                    <w:left w:val="none" w:sz="0" w:space="0" w:color="auto"/>
                    <w:bottom w:val="none" w:sz="0" w:space="0" w:color="auto"/>
                    <w:right w:val="none" w:sz="0" w:space="0" w:color="auto"/>
                  </w:divBdr>
                  <w:divsChild>
                    <w:div w:id="1544830427">
                      <w:marLeft w:val="0"/>
                      <w:marRight w:val="0"/>
                      <w:marTop w:val="0"/>
                      <w:marBottom w:val="0"/>
                      <w:divBdr>
                        <w:top w:val="none" w:sz="0" w:space="0" w:color="auto"/>
                        <w:left w:val="none" w:sz="0" w:space="0" w:color="auto"/>
                        <w:bottom w:val="none" w:sz="0" w:space="0" w:color="auto"/>
                        <w:right w:val="none" w:sz="0" w:space="0" w:color="auto"/>
                      </w:divBdr>
                    </w:div>
                  </w:divsChild>
                </w:div>
                <w:div w:id="823741081">
                  <w:marLeft w:val="0"/>
                  <w:marRight w:val="0"/>
                  <w:marTop w:val="0"/>
                  <w:marBottom w:val="0"/>
                  <w:divBdr>
                    <w:top w:val="none" w:sz="0" w:space="0" w:color="auto"/>
                    <w:left w:val="none" w:sz="0" w:space="0" w:color="auto"/>
                    <w:bottom w:val="none" w:sz="0" w:space="0" w:color="auto"/>
                    <w:right w:val="none" w:sz="0" w:space="0" w:color="auto"/>
                  </w:divBdr>
                  <w:divsChild>
                    <w:div w:id="270866622">
                      <w:marLeft w:val="0"/>
                      <w:marRight w:val="0"/>
                      <w:marTop w:val="0"/>
                      <w:marBottom w:val="0"/>
                      <w:divBdr>
                        <w:top w:val="none" w:sz="0" w:space="0" w:color="auto"/>
                        <w:left w:val="none" w:sz="0" w:space="0" w:color="auto"/>
                        <w:bottom w:val="none" w:sz="0" w:space="0" w:color="auto"/>
                        <w:right w:val="none" w:sz="0" w:space="0" w:color="auto"/>
                      </w:divBdr>
                    </w:div>
                  </w:divsChild>
                </w:div>
                <w:div w:id="848133104">
                  <w:marLeft w:val="0"/>
                  <w:marRight w:val="0"/>
                  <w:marTop w:val="0"/>
                  <w:marBottom w:val="0"/>
                  <w:divBdr>
                    <w:top w:val="none" w:sz="0" w:space="0" w:color="auto"/>
                    <w:left w:val="none" w:sz="0" w:space="0" w:color="auto"/>
                    <w:bottom w:val="none" w:sz="0" w:space="0" w:color="auto"/>
                    <w:right w:val="none" w:sz="0" w:space="0" w:color="auto"/>
                  </w:divBdr>
                  <w:divsChild>
                    <w:div w:id="1169950625">
                      <w:marLeft w:val="0"/>
                      <w:marRight w:val="0"/>
                      <w:marTop w:val="0"/>
                      <w:marBottom w:val="0"/>
                      <w:divBdr>
                        <w:top w:val="none" w:sz="0" w:space="0" w:color="auto"/>
                        <w:left w:val="none" w:sz="0" w:space="0" w:color="auto"/>
                        <w:bottom w:val="none" w:sz="0" w:space="0" w:color="auto"/>
                        <w:right w:val="none" w:sz="0" w:space="0" w:color="auto"/>
                      </w:divBdr>
                    </w:div>
                  </w:divsChild>
                </w:div>
                <w:div w:id="961771155">
                  <w:marLeft w:val="0"/>
                  <w:marRight w:val="0"/>
                  <w:marTop w:val="0"/>
                  <w:marBottom w:val="0"/>
                  <w:divBdr>
                    <w:top w:val="none" w:sz="0" w:space="0" w:color="auto"/>
                    <w:left w:val="none" w:sz="0" w:space="0" w:color="auto"/>
                    <w:bottom w:val="none" w:sz="0" w:space="0" w:color="auto"/>
                    <w:right w:val="none" w:sz="0" w:space="0" w:color="auto"/>
                  </w:divBdr>
                  <w:divsChild>
                    <w:div w:id="1548836508">
                      <w:marLeft w:val="0"/>
                      <w:marRight w:val="0"/>
                      <w:marTop w:val="0"/>
                      <w:marBottom w:val="0"/>
                      <w:divBdr>
                        <w:top w:val="none" w:sz="0" w:space="0" w:color="auto"/>
                        <w:left w:val="none" w:sz="0" w:space="0" w:color="auto"/>
                        <w:bottom w:val="none" w:sz="0" w:space="0" w:color="auto"/>
                        <w:right w:val="none" w:sz="0" w:space="0" w:color="auto"/>
                      </w:divBdr>
                    </w:div>
                  </w:divsChild>
                </w:div>
                <w:div w:id="981883400">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 w:id="983001640">
                  <w:marLeft w:val="0"/>
                  <w:marRight w:val="0"/>
                  <w:marTop w:val="0"/>
                  <w:marBottom w:val="0"/>
                  <w:divBdr>
                    <w:top w:val="none" w:sz="0" w:space="0" w:color="auto"/>
                    <w:left w:val="none" w:sz="0" w:space="0" w:color="auto"/>
                    <w:bottom w:val="none" w:sz="0" w:space="0" w:color="auto"/>
                    <w:right w:val="none" w:sz="0" w:space="0" w:color="auto"/>
                  </w:divBdr>
                  <w:divsChild>
                    <w:div w:id="334109132">
                      <w:marLeft w:val="0"/>
                      <w:marRight w:val="0"/>
                      <w:marTop w:val="0"/>
                      <w:marBottom w:val="0"/>
                      <w:divBdr>
                        <w:top w:val="none" w:sz="0" w:space="0" w:color="auto"/>
                        <w:left w:val="none" w:sz="0" w:space="0" w:color="auto"/>
                        <w:bottom w:val="none" w:sz="0" w:space="0" w:color="auto"/>
                        <w:right w:val="none" w:sz="0" w:space="0" w:color="auto"/>
                      </w:divBdr>
                    </w:div>
                  </w:divsChild>
                </w:div>
                <w:div w:id="1071387994">
                  <w:marLeft w:val="0"/>
                  <w:marRight w:val="0"/>
                  <w:marTop w:val="0"/>
                  <w:marBottom w:val="0"/>
                  <w:divBdr>
                    <w:top w:val="none" w:sz="0" w:space="0" w:color="auto"/>
                    <w:left w:val="none" w:sz="0" w:space="0" w:color="auto"/>
                    <w:bottom w:val="none" w:sz="0" w:space="0" w:color="auto"/>
                    <w:right w:val="none" w:sz="0" w:space="0" w:color="auto"/>
                  </w:divBdr>
                  <w:divsChild>
                    <w:div w:id="905259089">
                      <w:marLeft w:val="0"/>
                      <w:marRight w:val="0"/>
                      <w:marTop w:val="0"/>
                      <w:marBottom w:val="0"/>
                      <w:divBdr>
                        <w:top w:val="none" w:sz="0" w:space="0" w:color="auto"/>
                        <w:left w:val="none" w:sz="0" w:space="0" w:color="auto"/>
                        <w:bottom w:val="none" w:sz="0" w:space="0" w:color="auto"/>
                        <w:right w:val="none" w:sz="0" w:space="0" w:color="auto"/>
                      </w:divBdr>
                    </w:div>
                  </w:divsChild>
                </w:div>
                <w:div w:id="1188134242">
                  <w:marLeft w:val="0"/>
                  <w:marRight w:val="0"/>
                  <w:marTop w:val="0"/>
                  <w:marBottom w:val="0"/>
                  <w:divBdr>
                    <w:top w:val="none" w:sz="0" w:space="0" w:color="auto"/>
                    <w:left w:val="none" w:sz="0" w:space="0" w:color="auto"/>
                    <w:bottom w:val="none" w:sz="0" w:space="0" w:color="auto"/>
                    <w:right w:val="none" w:sz="0" w:space="0" w:color="auto"/>
                  </w:divBdr>
                  <w:divsChild>
                    <w:div w:id="626744211">
                      <w:marLeft w:val="0"/>
                      <w:marRight w:val="0"/>
                      <w:marTop w:val="0"/>
                      <w:marBottom w:val="0"/>
                      <w:divBdr>
                        <w:top w:val="none" w:sz="0" w:space="0" w:color="auto"/>
                        <w:left w:val="none" w:sz="0" w:space="0" w:color="auto"/>
                        <w:bottom w:val="none" w:sz="0" w:space="0" w:color="auto"/>
                        <w:right w:val="none" w:sz="0" w:space="0" w:color="auto"/>
                      </w:divBdr>
                    </w:div>
                  </w:divsChild>
                </w:div>
                <w:div w:id="1208176263">
                  <w:marLeft w:val="0"/>
                  <w:marRight w:val="0"/>
                  <w:marTop w:val="0"/>
                  <w:marBottom w:val="0"/>
                  <w:divBdr>
                    <w:top w:val="none" w:sz="0" w:space="0" w:color="auto"/>
                    <w:left w:val="none" w:sz="0" w:space="0" w:color="auto"/>
                    <w:bottom w:val="none" w:sz="0" w:space="0" w:color="auto"/>
                    <w:right w:val="none" w:sz="0" w:space="0" w:color="auto"/>
                  </w:divBdr>
                  <w:divsChild>
                    <w:div w:id="383526042">
                      <w:marLeft w:val="0"/>
                      <w:marRight w:val="0"/>
                      <w:marTop w:val="0"/>
                      <w:marBottom w:val="0"/>
                      <w:divBdr>
                        <w:top w:val="none" w:sz="0" w:space="0" w:color="auto"/>
                        <w:left w:val="none" w:sz="0" w:space="0" w:color="auto"/>
                        <w:bottom w:val="none" w:sz="0" w:space="0" w:color="auto"/>
                        <w:right w:val="none" w:sz="0" w:space="0" w:color="auto"/>
                      </w:divBdr>
                    </w:div>
                  </w:divsChild>
                </w:div>
                <w:div w:id="1236940574">
                  <w:marLeft w:val="0"/>
                  <w:marRight w:val="0"/>
                  <w:marTop w:val="0"/>
                  <w:marBottom w:val="0"/>
                  <w:divBdr>
                    <w:top w:val="none" w:sz="0" w:space="0" w:color="auto"/>
                    <w:left w:val="none" w:sz="0" w:space="0" w:color="auto"/>
                    <w:bottom w:val="none" w:sz="0" w:space="0" w:color="auto"/>
                    <w:right w:val="none" w:sz="0" w:space="0" w:color="auto"/>
                  </w:divBdr>
                  <w:divsChild>
                    <w:div w:id="1286695909">
                      <w:marLeft w:val="0"/>
                      <w:marRight w:val="0"/>
                      <w:marTop w:val="0"/>
                      <w:marBottom w:val="0"/>
                      <w:divBdr>
                        <w:top w:val="none" w:sz="0" w:space="0" w:color="auto"/>
                        <w:left w:val="none" w:sz="0" w:space="0" w:color="auto"/>
                        <w:bottom w:val="none" w:sz="0" w:space="0" w:color="auto"/>
                        <w:right w:val="none" w:sz="0" w:space="0" w:color="auto"/>
                      </w:divBdr>
                    </w:div>
                  </w:divsChild>
                </w:div>
                <w:div w:id="1269507795">
                  <w:marLeft w:val="0"/>
                  <w:marRight w:val="0"/>
                  <w:marTop w:val="0"/>
                  <w:marBottom w:val="0"/>
                  <w:divBdr>
                    <w:top w:val="none" w:sz="0" w:space="0" w:color="auto"/>
                    <w:left w:val="none" w:sz="0" w:space="0" w:color="auto"/>
                    <w:bottom w:val="none" w:sz="0" w:space="0" w:color="auto"/>
                    <w:right w:val="none" w:sz="0" w:space="0" w:color="auto"/>
                  </w:divBdr>
                  <w:divsChild>
                    <w:div w:id="1890261563">
                      <w:marLeft w:val="0"/>
                      <w:marRight w:val="0"/>
                      <w:marTop w:val="0"/>
                      <w:marBottom w:val="0"/>
                      <w:divBdr>
                        <w:top w:val="none" w:sz="0" w:space="0" w:color="auto"/>
                        <w:left w:val="none" w:sz="0" w:space="0" w:color="auto"/>
                        <w:bottom w:val="none" w:sz="0" w:space="0" w:color="auto"/>
                        <w:right w:val="none" w:sz="0" w:space="0" w:color="auto"/>
                      </w:divBdr>
                    </w:div>
                  </w:divsChild>
                </w:div>
                <w:div w:id="1398553898">
                  <w:marLeft w:val="0"/>
                  <w:marRight w:val="0"/>
                  <w:marTop w:val="0"/>
                  <w:marBottom w:val="0"/>
                  <w:divBdr>
                    <w:top w:val="none" w:sz="0" w:space="0" w:color="auto"/>
                    <w:left w:val="none" w:sz="0" w:space="0" w:color="auto"/>
                    <w:bottom w:val="none" w:sz="0" w:space="0" w:color="auto"/>
                    <w:right w:val="none" w:sz="0" w:space="0" w:color="auto"/>
                  </w:divBdr>
                  <w:divsChild>
                    <w:div w:id="2104840890">
                      <w:marLeft w:val="0"/>
                      <w:marRight w:val="0"/>
                      <w:marTop w:val="0"/>
                      <w:marBottom w:val="0"/>
                      <w:divBdr>
                        <w:top w:val="none" w:sz="0" w:space="0" w:color="auto"/>
                        <w:left w:val="none" w:sz="0" w:space="0" w:color="auto"/>
                        <w:bottom w:val="none" w:sz="0" w:space="0" w:color="auto"/>
                        <w:right w:val="none" w:sz="0" w:space="0" w:color="auto"/>
                      </w:divBdr>
                    </w:div>
                  </w:divsChild>
                </w:div>
                <w:div w:id="1489831727">
                  <w:marLeft w:val="0"/>
                  <w:marRight w:val="0"/>
                  <w:marTop w:val="0"/>
                  <w:marBottom w:val="0"/>
                  <w:divBdr>
                    <w:top w:val="none" w:sz="0" w:space="0" w:color="auto"/>
                    <w:left w:val="none" w:sz="0" w:space="0" w:color="auto"/>
                    <w:bottom w:val="none" w:sz="0" w:space="0" w:color="auto"/>
                    <w:right w:val="none" w:sz="0" w:space="0" w:color="auto"/>
                  </w:divBdr>
                  <w:divsChild>
                    <w:div w:id="1924142547">
                      <w:marLeft w:val="0"/>
                      <w:marRight w:val="0"/>
                      <w:marTop w:val="0"/>
                      <w:marBottom w:val="0"/>
                      <w:divBdr>
                        <w:top w:val="none" w:sz="0" w:space="0" w:color="auto"/>
                        <w:left w:val="none" w:sz="0" w:space="0" w:color="auto"/>
                        <w:bottom w:val="none" w:sz="0" w:space="0" w:color="auto"/>
                        <w:right w:val="none" w:sz="0" w:space="0" w:color="auto"/>
                      </w:divBdr>
                    </w:div>
                  </w:divsChild>
                </w:div>
                <w:div w:id="1494685751">
                  <w:marLeft w:val="0"/>
                  <w:marRight w:val="0"/>
                  <w:marTop w:val="0"/>
                  <w:marBottom w:val="0"/>
                  <w:divBdr>
                    <w:top w:val="none" w:sz="0" w:space="0" w:color="auto"/>
                    <w:left w:val="none" w:sz="0" w:space="0" w:color="auto"/>
                    <w:bottom w:val="none" w:sz="0" w:space="0" w:color="auto"/>
                    <w:right w:val="none" w:sz="0" w:space="0" w:color="auto"/>
                  </w:divBdr>
                  <w:divsChild>
                    <w:div w:id="2053342">
                      <w:marLeft w:val="0"/>
                      <w:marRight w:val="0"/>
                      <w:marTop w:val="0"/>
                      <w:marBottom w:val="0"/>
                      <w:divBdr>
                        <w:top w:val="none" w:sz="0" w:space="0" w:color="auto"/>
                        <w:left w:val="none" w:sz="0" w:space="0" w:color="auto"/>
                        <w:bottom w:val="none" w:sz="0" w:space="0" w:color="auto"/>
                        <w:right w:val="none" w:sz="0" w:space="0" w:color="auto"/>
                      </w:divBdr>
                    </w:div>
                  </w:divsChild>
                </w:div>
                <w:div w:id="1527450945">
                  <w:marLeft w:val="0"/>
                  <w:marRight w:val="0"/>
                  <w:marTop w:val="0"/>
                  <w:marBottom w:val="0"/>
                  <w:divBdr>
                    <w:top w:val="none" w:sz="0" w:space="0" w:color="auto"/>
                    <w:left w:val="none" w:sz="0" w:space="0" w:color="auto"/>
                    <w:bottom w:val="none" w:sz="0" w:space="0" w:color="auto"/>
                    <w:right w:val="none" w:sz="0" w:space="0" w:color="auto"/>
                  </w:divBdr>
                  <w:divsChild>
                    <w:div w:id="1056390708">
                      <w:marLeft w:val="0"/>
                      <w:marRight w:val="0"/>
                      <w:marTop w:val="0"/>
                      <w:marBottom w:val="0"/>
                      <w:divBdr>
                        <w:top w:val="none" w:sz="0" w:space="0" w:color="auto"/>
                        <w:left w:val="none" w:sz="0" w:space="0" w:color="auto"/>
                        <w:bottom w:val="none" w:sz="0" w:space="0" w:color="auto"/>
                        <w:right w:val="none" w:sz="0" w:space="0" w:color="auto"/>
                      </w:divBdr>
                    </w:div>
                  </w:divsChild>
                </w:div>
                <w:div w:id="1651666227">
                  <w:marLeft w:val="0"/>
                  <w:marRight w:val="0"/>
                  <w:marTop w:val="0"/>
                  <w:marBottom w:val="0"/>
                  <w:divBdr>
                    <w:top w:val="none" w:sz="0" w:space="0" w:color="auto"/>
                    <w:left w:val="none" w:sz="0" w:space="0" w:color="auto"/>
                    <w:bottom w:val="none" w:sz="0" w:space="0" w:color="auto"/>
                    <w:right w:val="none" w:sz="0" w:space="0" w:color="auto"/>
                  </w:divBdr>
                  <w:divsChild>
                    <w:div w:id="491651692">
                      <w:marLeft w:val="0"/>
                      <w:marRight w:val="0"/>
                      <w:marTop w:val="0"/>
                      <w:marBottom w:val="0"/>
                      <w:divBdr>
                        <w:top w:val="none" w:sz="0" w:space="0" w:color="auto"/>
                        <w:left w:val="none" w:sz="0" w:space="0" w:color="auto"/>
                        <w:bottom w:val="none" w:sz="0" w:space="0" w:color="auto"/>
                        <w:right w:val="none" w:sz="0" w:space="0" w:color="auto"/>
                      </w:divBdr>
                    </w:div>
                  </w:divsChild>
                </w:div>
                <w:div w:id="1675526038">
                  <w:marLeft w:val="0"/>
                  <w:marRight w:val="0"/>
                  <w:marTop w:val="0"/>
                  <w:marBottom w:val="0"/>
                  <w:divBdr>
                    <w:top w:val="none" w:sz="0" w:space="0" w:color="auto"/>
                    <w:left w:val="none" w:sz="0" w:space="0" w:color="auto"/>
                    <w:bottom w:val="none" w:sz="0" w:space="0" w:color="auto"/>
                    <w:right w:val="none" w:sz="0" w:space="0" w:color="auto"/>
                  </w:divBdr>
                  <w:divsChild>
                    <w:div w:id="922033740">
                      <w:marLeft w:val="0"/>
                      <w:marRight w:val="0"/>
                      <w:marTop w:val="0"/>
                      <w:marBottom w:val="0"/>
                      <w:divBdr>
                        <w:top w:val="none" w:sz="0" w:space="0" w:color="auto"/>
                        <w:left w:val="none" w:sz="0" w:space="0" w:color="auto"/>
                        <w:bottom w:val="none" w:sz="0" w:space="0" w:color="auto"/>
                        <w:right w:val="none" w:sz="0" w:space="0" w:color="auto"/>
                      </w:divBdr>
                    </w:div>
                  </w:divsChild>
                </w:div>
                <w:div w:id="1721591993">
                  <w:marLeft w:val="0"/>
                  <w:marRight w:val="0"/>
                  <w:marTop w:val="0"/>
                  <w:marBottom w:val="0"/>
                  <w:divBdr>
                    <w:top w:val="none" w:sz="0" w:space="0" w:color="auto"/>
                    <w:left w:val="none" w:sz="0" w:space="0" w:color="auto"/>
                    <w:bottom w:val="none" w:sz="0" w:space="0" w:color="auto"/>
                    <w:right w:val="none" w:sz="0" w:space="0" w:color="auto"/>
                  </w:divBdr>
                  <w:divsChild>
                    <w:div w:id="664750031">
                      <w:marLeft w:val="0"/>
                      <w:marRight w:val="0"/>
                      <w:marTop w:val="0"/>
                      <w:marBottom w:val="0"/>
                      <w:divBdr>
                        <w:top w:val="none" w:sz="0" w:space="0" w:color="auto"/>
                        <w:left w:val="none" w:sz="0" w:space="0" w:color="auto"/>
                        <w:bottom w:val="none" w:sz="0" w:space="0" w:color="auto"/>
                        <w:right w:val="none" w:sz="0" w:space="0" w:color="auto"/>
                      </w:divBdr>
                    </w:div>
                  </w:divsChild>
                </w:div>
                <w:div w:id="1766684137">
                  <w:marLeft w:val="0"/>
                  <w:marRight w:val="0"/>
                  <w:marTop w:val="0"/>
                  <w:marBottom w:val="0"/>
                  <w:divBdr>
                    <w:top w:val="none" w:sz="0" w:space="0" w:color="auto"/>
                    <w:left w:val="none" w:sz="0" w:space="0" w:color="auto"/>
                    <w:bottom w:val="none" w:sz="0" w:space="0" w:color="auto"/>
                    <w:right w:val="none" w:sz="0" w:space="0" w:color="auto"/>
                  </w:divBdr>
                  <w:divsChild>
                    <w:div w:id="690109534">
                      <w:marLeft w:val="0"/>
                      <w:marRight w:val="0"/>
                      <w:marTop w:val="0"/>
                      <w:marBottom w:val="0"/>
                      <w:divBdr>
                        <w:top w:val="none" w:sz="0" w:space="0" w:color="auto"/>
                        <w:left w:val="none" w:sz="0" w:space="0" w:color="auto"/>
                        <w:bottom w:val="none" w:sz="0" w:space="0" w:color="auto"/>
                        <w:right w:val="none" w:sz="0" w:space="0" w:color="auto"/>
                      </w:divBdr>
                    </w:div>
                  </w:divsChild>
                </w:div>
                <w:div w:id="1782728505">
                  <w:marLeft w:val="0"/>
                  <w:marRight w:val="0"/>
                  <w:marTop w:val="0"/>
                  <w:marBottom w:val="0"/>
                  <w:divBdr>
                    <w:top w:val="none" w:sz="0" w:space="0" w:color="auto"/>
                    <w:left w:val="none" w:sz="0" w:space="0" w:color="auto"/>
                    <w:bottom w:val="none" w:sz="0" w:space="0" w:color="auto"/>
                    <w:right w:val="none" w:sz="0" w:space="0" w:color="auto"/>
                  </w:divBdr>
                  <w:divsChild>
                    <w:div w:id="1532841055">
                      <w:marLeft w:val="0"/>
                      <w:marRight w:val="0"/>
                      <w:marTop w:val="0"/>
                      <w:marBottom w:val="0"/>
                      <w:divBdr>
                        <w:top w:val="none" w:sz="0" w:space="0" w:color="auto"/>
                        <w:left w:val="none" w:sz="0" w:space="0" w:color="auto"/>
                        <w:bottom w:val="none" w:sz="0" w:space="0" w:color="auto"/>
                        <w:right w:val="none" w:sz="0" w:space="0" w:color="auto"/>
                      </w:divBdr>
                    </w:div>
                  </w:divsChild>
                </w:div>
                <w:div w:id="1904103032">
                  <w:marLeft w:val="0"/>
                  <w:marRight w:val="0"/>
                  <w:marTop w:val="0"/>
                  <w:marBottom w:val="0"/>
                  <w:divBdr>
                    <w:top w:val="none" w:sz="0" w:space="0" w:color="auto"/>
                    <w:left w:val="none" w:sz="0" w:space="0" w:color="auto"/>
                    <w:bottom w:val="none" w:sz="0" w:space="0" w:color="auto"/>
                    <w:right w:val="none" w:sz="0" w:space="0" w:color="auto"/>
                  </w:divBdr>
                  <w:divsChild>
                    <w:div w:id="399256956">
                      <w:marLeft w:val="0"/>
                      <w:marRight w:val="0"/>
                      <w:marTop w:val="0"/>
                      <w:marBottom w:val="0"/>
                      <w:divBdr>
                        <w:top w:val="none" w:sz="0" w:space="0" w:color="auto"/>
                        <w:left w:val="none" w:sz="0" w:space="0" w:color="auto"/>
                        <w:bottom w:val="none" w:sz="0" w:space="0" w:color="auto"/>
                        <w:right w:val="none" w:sz="0" w:space="0" w:color="auto"/>
                      </w:divBdr>
                    </w:div>
                  </w:divsChild>
                </w:div>
                <w:div w:id="1936162029">
                  <w:marLeft w:val="0"/>
                  <w:marRight w:val="0"/>
                  <w:marTop w:val="0"/>
                  <w:marBottom w:val="0"/>
                  <w:divBdr>
                    <w:top w:val="none" w:sz="0" w:space="0" w:color="auto"/>
                    <w:left w:val="none" w:sz="0" w:space="0" w:color="auto"/>
                    <w:bottom w:val="none" w:sz="0" w:space="0" w:color="auto"/>
                    <w:right w:val="none" w:sz="0" w:space="0" w:color="auto"/>
                  </w:divBdr>
                  <w:divsChild>
                    <w:div w:id="2147042802">
                      <w:marLeft w:val="0"/>
                      <w:marRight w:val="0"/>
                      <w:marTop w:val="0"/>
                      <w:marBottom w:val="0"/>
                      <w:divBdr>
                        <w:top w:val="none" w:sz="0" w:space="0" w:color="auto"/>
                        <w:left w:val="none" w:sz="0" w:space="0" w:color="auto"/>
                        <w:bottom w:val="none" w:sz="0" w:space="0" w:color="auto"/>
                        <w:right w:val="none" w:sz="0" w:space="0" w:color="auto"/>
                      </w:divBdr>
                    </w:div>
                  </w:divsChild>
                </w:div>
                <w:div w:id="1968047987">
                  <w:marLeft w:val="0"/>
                  <w:marRight w:val="0"/>
                  <w:marTop w:val="0"/>
                  <w:marBottom w:val="0"/>
                  <w:divBdr>
                    <w:top w:val="none" w:sz="0" w:space="0" w:color="auto"/>
                    <w:left w:val="none" w:sz="0" w:space="0" w:color="auto"/>
                    <w:bottom w:val="none" w:sz="0" w:space="0" w:color="auto"/>
                    <w:right w:val="none" w:sz="0" w:space="0" w:color="auto"/>
                  </w:divBdr>
                  <w:divsChild>
                    <w:div w:id="635332822">
                      <w:marLeft w:val="0"/>
                      <w:marRight w:val="0"/>
                      <w:marTop w:val="0"/>
                      <w:marBottom w:val="0"/>
                      <w:divBdr>
                        <w:top w:val="none" w:sz="0" w:space="0" w:color="auto"/>
                        <w:left w:val="none" w:sz="0" w:space="0" w:color="auto"/>
                        <w:bottom w:val="none" w:sz="0" w:space="0" w:color="auto"/>
                        <w:right w:val="none" w:sz="0" w:space="0" w:color="auto"/>
                      </w:divBdr>
                    </w:div>
                  </w:divsChild>
                </w:div>
                <w:div w:id="2055545064">
                  <w:marLeft w:val="0"/>
                  <w:marRight w:val="0"/>
                  <w:marTop w:val="0"/>
                  <w:marBottom w:val="0"/>
                  <w:divBdr>
                    <w:top w:val="none" w:sz="0" w:space="0" w:color="auto"/>
                    <w:left w:val="none" w:sz="0" w:space="0" w:color="auto"/>
                    <w:bottom w:val="none" w:sz="0" w:space="0" w:color="auto"/>
                    <w:right w:val="none" w:sz="0" w:space="0" w:color="auto"/>
                  </w:divBdr>
                  <w:divsChild>
                    <w:div w:id="20409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326">
          <w:marLeft w:val="0"/>
          <w:marRight w:val="0"/>
          <w:marTop w:val="0"/>
          <w:marBottom w:val="0"/>
          <w:divBdr>
            <w:top w:val="none" w:sz="0" w:space="0" w:color="auto"/>
            <w:left w:val="none" w:sz="0" w:space="0" w:color="auto"/>
            <w:bottom w:val="none" w:sz="0" w:space="0" w:color="auto"/>
            <w:right w:val="none" w:sz="0" w:space="0" w:color="auto"/>
          </w:divBdr>
          <w:divsChild>
            <w:div w:id="542908934">
              <w:marLeft w:val="0"/>
              <w:marRight w:val="0"/>
              <w:marTop w:val="30"/>
              <w:marBottom w:val="30"/>
              <w:divBdr>
                <w:top w:val="none" w:sz="0" w:space="0" w:color="auto"/>
                <w:left w:val="none" w:sz="0" w:space="0" w:color="auto"/>
                <w:bottom w:val="none" w:sz="0" w:space="0" w:color="auto"/>
                <w:right w:val="none" w:sz="0" w:space="0" w:color="auto"/>
              </w:divBdr>
              <w:divsChild>
                <w:div w:id="2053834">
                  <w:marLeft w:val="0"/>
                  <w:marRight w:val="0"/>
                  <w:marTop w:val="0"/>
                  <w:marBottom w:val="0"/>
                  <w:divBdr>
                    <w:top w:val="none" w:sz="0" w:space="0" w:color="auto"/>
                    <w:left w:val="none" w:sz="0" w:space="0" w:color="auto"/>
                    <w:bottom w:val="none" w:sz="0" w:space="0" w:color="auto"/>
                    <w:right w:val="none" w:sz="0" w:space="0" w:color="auto"/>
                  </w:divBdr>
                  <w:divsChild>
                    <w:div w:id="1242134209">
                      <w:marLeft w:val="0"/>
                      <w:marRight w:val="0"/>
                      <w:marTop w:val="0"/>
                      <w:marBottom w:val="0"/>
                      <w:divBdr>
                        <w:top w:val="none" w:sz="0" w:space="0" w:color="auto"/>
                        <w:left w:val="none" w:sz="0" w:space="0" w:color="auto"/>
                        <w:bottom w:val="none" w:sz="0" w:space="0" w:color="auto"/>
                        <w:right w:val="none" w:sz="0" w:space="0" w:color="auto"/>
                      </w:divBdr>
                    </w:div>
                  </w:divsChild>
                </w:div>
                <w:div w:id="37166013">
                  <w:marLeft w:val="0"/>
                  <w:marRight w:val="0"/>
                  <w:marTop w:val="0"/>
                  <w:marBottom w:val="0"/>
                  <w:divBdr>
                    <w:top w:val="none" w:sz="0" w:space="0" w:color="auto"/>
                    <w:left w:val="none" w:sz="0" w:space="0" w:color="auto"/>
                    <w:bottom w:val="none" w:sz="0" w:space="0" w:color="auto"/>
                    <w:right w:val="none" w:sz="0" w:space="0" w:color="auto"/>
                  </w:divBdr>
                  <w:divsChild>
                    <w:div w:id="1290823280">
                      <w:marLeft w:val="0"/>
                      <w:marRight w:val="0"/>
                      <w:marTop w:val="0"/>
                      <w:marBottom w:val="0"/>
                      <w:divBdr>
                        <w:top w:val="none" w:sz="0" w:space="0" w:color="auto"/>
                        <w:left w:val="none" w:sz="0" w:space="0" w:color="auto"/>
                        <w:bottom w:val="none" w:sz="0" w:space="0" w:color="auto"/>
                        <w:right w:val="none" w:sz="0" w:space="0" w:color="auto"/>
                      </w:divBdr>
                    </w:div>
                  </w:divsChild>
                </w:div>
                <w:div w:id="83454357">
                  <w:marLeft w:val="0"/>
                  <w:marRight w:val="0"/>
                  <w:marTop w:val="0"/>
                  <w:marBottom w:val="0"/>
                  <w:divBdr>
                    <w:top w:val="none" w:sz="0" w:space="0" w:color="auto"/>
                    <w:left w:val="none" w:sz="0" w:space="0" w:color="auto"/>
                    <w:bottom w:val="none" w:sz="0" w:space="0" w:color="auto"/>
                    <w:right w:val="none" w:sz="0" w:space="0" w:color="auto"/>
                  </w:divBdr>
                  <w:divsChild>
                    <w:div w:id="1527020236">
                      <w:marLeft w:val="0"/>
                      <w:marRight w:val="0"/>
                      <w:marTop w:val="0"/>
                      <w:marBottom w:val="0"/>
                      <w:divBdr>
                        <w:top w:val="none" w:sz="0" w:space="0" w:color="auto"/>
                        <w:left w:val="none" w:sz="0" w:space="0" w:color="auto"/>
                        <w:bottom w:val="none" w:sz="0" w:space="0" w:color="auto"/>
                        <w:right w:val="none" w:sz="0" w:space="0" w:color="auto"/>
                      </w:divBdr>
                    </w:div>
                  </w:divsChild>
                </w:div>
                <w:div w:id="193153377">
                  <w:marLeft w:val="0"/>
                  <w:marRight w:val="0"/>
                  <w:marTop w:val="0"/>
                  <w:marBottom w:val="0"/>
                  <w:divBdr>
                    <w:top w:val="none" w:sz="0" w:space="0" w:color="auto"/>
                    <w:left w:val="none" w:sz="0" w:space="0" w:color="auto"/>
                    <w:bottom w:val="none" w:sz="0" w:space="0" w:color="auto"/>
                    <w:right w:val="none" w:sz="0" w:space="0" w:color="auto"/>
                  </w:divBdr>
                  <w:divsChild>
                    <w:div w:id="1535583628">
                      <w:marLeft w:val="0"/>
                      <w:marRight w:val="0"/>
                      <w:marTop w:val="0"/>
                      <w:marBottom w:val="0"/>
                      <w:divBdr>
                        <w:top w:val="none" w:sz="0" w:space="0" w:color="auto"/>
                        <w:left w:val="none" w:sz="0" w:space="0" w:color="auto"/>
                        <w:bottom w:val="none" w:sz="0" w:space="0" w:color="auto"/>
                        <w:right w:val="none" w:sz="0" w:space="0" w:color="auto"/>
                      </w:divBdr>
                    </w:div>
                  </w:divsChild>
                </w:div>
                <w:div w:id="193886117">
                  <w:marLeft w:val="0"/>
                  <w:marRight w:val="0"/>
                  <w:marTop w:val="0"/>
                  <w:marBottom w:val="0"/>
                  <w:divBdr>
                    <w:top w:val="none" w:sz="0" w:space="0" w:color="auto"/>
                    <w:left w:val="none" w:sz="0" w:space="0" w:color="auto"/>
                    <w:bottom w:val="none" w:sz="0" w:space="0" w:color="auto"/>
                    <w:right w:val="none" w:sz="0" w:space="0" w:color="auto"/>
                  </w:divBdr>
                  <w:divsChild>
                    <w:div w:id="2099868040">
                      <w:marLeft w:val="0"/>
                      <w:marRight w:val="0"/>
                      <w:marTop w:val="0"/>
                      <w:marBottom w:val="0"/>
                      <w:divBdr>
                        <w:top w:val="none" w:sz="0" w:space="0" w:color="auto"/>
                        <w:left w:val="none" w:sz="0" w:space="0" w:color="auto"/>
                        <w:bottom w:val="none" w:sz="0" w:space="0" w:color="auto"/>
                        <w:right w:val="none" w:sz="0" w:space="0" w:color="auto"/>
                      </w:divBdr>
                    </w:div>
                  </w:divsChild>
                </w:div>
                <w:div w:id="227805322">
                  <w:marLeft w:val="0"/>
                  <w:marRight w:val="0"/>
                  <w:marTop w:val="0"/>
                  <w:marBottom w:val="0"/>
                  <w:divBdr>
                    <w:top w:val="none" w:sz="0" w:space="0" w:color="auto"/>
                    <w:left w:val="none" w:sz="0" w:space="0" w:color="auto"/>
                    <w:bottom w:val="none" w:sz="0" w:space="0" w:color="auto"/>
                    <w:right w:val="none" w:sz="0" w:space="0" w:color="auto"/>
                  </w:divBdr>
                  <w:divsChild>
                    <w:div w:id="546180698">
                      <w:marLeft w:val="0"/>
                      <w:marRight w:val="0"/>
                      <w:marTop w:val="0"/>
                      <w:marBottom w:val="0"/>
                      <w:divBdr>
                        <w:top w:val="none" w:sz="0" w:space="0" w:color="auto"/>
                        <w:left w:val="none" w:sz="0" w:space="0" w:color="auto"/>
                        <w:bottom w:val="none" w:sz="0" w:space="0" w:color="auto"/>
                        <w:right w:val="none" w:sz="0" w:space="0" w:color="auto"/>
                      </w:divBdr>
                    </w:div>
                  </w:divsChild>
                </w:div>
                <w:div w:id="328019821">
                  <w:marLeft w:val="0"/>
                  <w:marRight w:val="0"/>
                  <w:marTop w:val="0"/>
                  <w:marBottom w:val="0"/>
                  <w:divBdr>
                    <w:top w:val="none" w:sz="0" w:space="0" w:color="auto"/>
                    <w:left w:val="none" w:sz="0" w:space="0" w:color="auto"/>
                    <w:bottom w:val="none" w:sz="0" w:space="0" w:color="auto"/>
                    <w:right w:val="none" w:sz="0" w:space="0" w:color="auto"/>
                  </w:divBdr>
                  <w:divsChild>
                    <w:div w:id="759639160">
                      <w:marLeft w:val="0"/>
                      <w:marRight w:val="0"/>
                      <w:marTop w:val="0"/>
                      <w:marBottom w:val="0"/>
                      <w:divBdr>
                        <w:top w:val="none" w:sz="0" w:space="0" w:color="auto"/>
                        <w:left w:val="none" w:sz="0" w:space="0" w:color="auto"/>
                        <w:bottom w:val="none" w:sz="0" w:space="0" w:color="auto"/>
                        <w:right w:val="none" w:sz="0" w:space="0" w:color="auto"/>
                      </w:divBdr>
                    </w:div>
                  </w:divsChild>
                </w:div>
                <w:div w:id="518395695">
                  <w:marLeft w:val="0"/>
                  <w:marRight w:val="0"/>
                  <w:marTop w:val="0"/>
                  <w:marBottom w:val="0"/>
                  <w:divBdr>
                    <w:top w:val="none" w:sz="0" w:space="0" w:color="auto"/>
                    <w:left w:val="none" w:sz="0" w:space="0" w:color="auto"/>
                    <w:bottom w:val="none" w:sz="0" w:space="0" w:color="auto"/>
                    <w:right w:val="none" w:sz="0" w:space="0" w:color="auto"/>
                  </w:divBdr>
                  <w:divsChild>
                    <w:div w:id="508833773">
                      <w:marLeft w:val="0"/>
                      <w:marRight w:val="0"/>
                      <w:marTop w:val="0"/>
                      <w:marBottom w:val="0"/>
                      <w:divBdr>
                        <w:top w:val="none" w:sz="0" w:space="0" w:color="auto"/>
                        <w:left w:val="none" w:sz="0" w:space="0" w:color="auto"/>
                        <w:bottom w:val="none" w:sz="0" w:space="0" w:color="auto"/>
                        <w:right w:val="none" w:sz="0" w:space="0" w:color="auto"/>
                      </w:divBdr>
                    </w:div>
                  </w:divsChild>
                </w:div>
                <w:div w:id="672145136">
                  <w:marLeft w:val="0"/>
                  <w:marRight w:val="0"/>
                  <w:marTop w:val="0"/>
                  <w:marBottom w:val="0"/>
                  <w:divBdr>
                    <w:top w:val="none" w:sz="0" w:space="0" w:color="auto"/>
                    <w:left w:val="none" w:sz="0" w:space="0" w:color="auto"/>
                    <w:bottom w:val="none" w:sz="0" w:space="0" w:color="auto"/>
                    <w:right w:val="none" w:sz="0" w:space="0" w:color="auto"/>
                  </w:divBdr>
                  <w:divsChild>
                    <w:div w:id="357389793">
                      <w:marLeft w:val="0"/>
                      <w:marRight w:val="0"/>
                      <w:marTop w:val="0"/>
                      <w:marBottom w:val="0"/>
                      <w:divBdr>
                        <w:top w:val="none" w:sz="0" w:space="0" w:color="auto"/>
                        <w:left w:val="none" w:sz="0" w:space="0" w:color="auto"/>
                        <w:bottom w:val="none" w:sz="0" w:space="0" w:color="auto"/>
                        <w:right w:val="none" w:sz="0" w:space="0" w:color="auto"/>
                      </w:divBdr>
                    </w:div>
                  </w:divsChild>
                </w:div>
                <w:div w:id="691955044">
                  <w:marLeft w:val="0"/>
                  <w:marRight w:val="0"/>
                  <w:marTop w:val="0"/>
                  <w:marBottom w:val="0"/>
                  <w:divBdr>
                    <w:top w:val="none" w:sz="0" w:space="0" w:color="auto"/>
                    <w:left w:val="none" w:sz="0" w:space="0" w:color="auto"/>
                    <w:bottom w:val="none" w:sz="0" w:space="0" w:color="auto"/>
                    <w:right w:val="none" w:sz="0" w:space="0" w:color="auto"/>
                  </w:divBdr>
                  <w:divsChild>
                    <w:div w:id="1992905912">
                      <w:marLeft w:val="0"/>
                      <w:marRight w:val="0"/>
                      <w:marTop w:val="0"/>
                      <w:marBottom w:val="0"/>
                      <w:divBdr>
                        <w:top w:val="none" w:sz="0" w:space="0" w:color="auto"/>
                        <w:left w:val="none" w:sz="0" w:space="0" w:color="auto"/>
                        <w:bottom w:val="none" w:sz="0" w:space="0" w:color="auto"/>
                        <w:right w:val="none" w:sz="0" w:space="0" w:color="auto"/>
                      </w:divBdr>
                    </w:div>
                  </w:divsChild>
                </w:div>
                <w:div w:id="704402200">
                  <w:marLeft w:val="0"/>
                  <w:marRight w:val="0"/>
                  <w:marTop w:val="0"/>
                  <w:marBottom w:val="0"/>
                  <w:divBdr>
                    <w:top w:val="none" w:sz="0" w:space="0" w:color="auto"/>
                    <w:left w:val="none" w:sz="0" w:space="0" w:color="auto"/>
                    <w:bottom w:val="none" w:sz="0" w:space="0" w:color="auto"/>
                    <w:right w:val="none" w:sz="0" w:space="0" w:color="auto"/>
                  </w:divBdr>
                  <w:divsChild>
                    <w:div w:id="920674986">
                      <w:marLeft w:val="0"/>
                      <w:marRight w:val="0"/>
                      <w:marTop w:val="0"/>
                      <w:marBottom w:val="0"/>
                      <w:divBdr>
                        <w:top w:val="none" w:sz="0" w:space="0" w:color="auto"/>
                        <w:left w:val="none" w:sz="0" w:space="0" w:color="auto"/>
                        <w:bottom w:val="none" w:sz="0" w:space="0" w:color="auto"/>
                        <w:right w:val="none" w:sz="0" w:space="0" w:color="auto"/>
                      </w:divBdr>
                    </w:div>
                  </w:divsChild>
                </w:div>
                <w:div w:id="754980148">
                  <w:marLeft w:val="0"/>
                  <w:marRight w:val="0"/>
                  <w:marTop w:val="0"/>
                  <w:marBottom w:val="0"/>
                  <w:divBdr>
                    <w:top w:val="none" w:sz="0" w:space="0" w:color="auto"/>
                    <w:left w:val="none" w:sz="0" w:space="0" w:color="auto"/>
                    <w:bottom w:val="none" w:sz="0" w:space="0" w:color="auto"/>
                    <w:right w:val="none" w:sz="0" w:space="0" w:color="auto"/>
                  </w:divBdr>
                  <w:divsChild>
                    <w:div w:id="1307931384">
                      <w:marLeft w:val="0"/>
                      <w:marRight w:val="0"/>
                      <w:marTop w:val="0"/>
                      <w:marBottom w:val="0"/>
                      <w:divBdr>
                        <w:top w:val="none" w:sz="0" w:space="0" w:color="auto"/>
                        <w:left w:val="none" w:sz="0" w:space="0" w:color="auto"/>
                        <w:bottom w:val="none" w:sz="0" w:space="0" w:color="auto"/>
                        <w:right w:val="none" w:sz="0" w:space="0" w:color="auto"/>
                      </w:divBdr>
                    </w:div>
                  </w:divsChild>
                </w:div>
                <w:div w:id="791751928">
                  <w:marLeft w:val="0"/>
                  <w:marRight w:val="0"/>
                  <w:marTop w:val="0"/>
                  <w:marBottom w:val="0"/>
                  <w:divBdr>
                    <w:top w:val="none" w:sz="0" w:space="0" w:color="auto"/>
                    <w:left w:val="none" w:sz="0" w:space="0" w:color="auto"/>
                    <w:bottom w:val="none" w:sz="0" w:space="0" w:color="auto"/>
                    <w:right w:val="none" w:sz="0" w:space="0" w:color="auto"/>
                  </w:divBdr>
                  <w:divsChild>
                    <w:div w:id="582374103">
                      <w:marLeft w:val="0"/>
                      <w:marRight w:val="0"/>
                      <w:marTop w:val="0"/>
                      <w:marBottom w:val="0"/>
                      <w:divBdr>
                        <w:top w:val="none" w:sz="0" w:space="0" w:color="auto"/>
                        <w:left w:val="none" w:sz="0" w:space="0" w:color="auto"/>
                        <w:bottom w:val="none" w:sz="0" w:space="0" w:color="auto"/>
                        <w:right w:val="none" w:sz="0" w:space="0" w:color="auto"/>
                      </w:divBdr>
                    </w:div>
                  </w:divsChild>
                </w:div>
                <w:div w:id="899747894">
                  <w:marLeft w:val="0"/>
                  <w:marRight w:val="0"/>
                  <w:marTop w:val="0"/>
                  <w:marBottom w:val="0"/>
                  <w:divBdr>
                    <w:top w:val="none" w:sz="0" w:space="0" w:color="auto"/>
                    <w:left w:val="none" w:sz="0" w:space="0" w:color="auto"/>
                    <w:bottom w:val="none" w:sz="0" w:space="0" w:color="auto"/>
                    <w:right w:val="none" w:sz="0" w:space="0" w:color="auto"/>
                  </w:divBdr>
                  <w:divsChild>
                    <w:div w:id="29688016">
                      <w:marLeft w:val="0"/>
                      <w:marRight w:val="0"/>
                      <w:marTop w:val="0"/>
                      <w:marBottom w:val="0"/>
                      <w:divBdr>
                        <w:top w:val="none" w:sz="0" w:space="0" w:color="auto"/>
                        <w:left w:val="none" w:sz="0" w:space="0" w:color="auto"/>
                        <w:bottom w:val="none" w:sz="0" w:space="0" w:color="auto"/>
                        <w:right w:val="none" w:sz="0" w:space="0" w:color="auto"/>
                      </w:divBdr>
                    </w:div>
                  </w:divsChild>
                </w:div>
                <w:div w:id="1125999741">
                  <w:marLeft w:val="0"/>
                  <w:marRight w:val="0"/>
                  <w:marTop w:val="0"/>
                  <w:marBottom w:val="0"/>
                  <w:divBdr>
                    <w:top w:val="none" w:sz="0" w:space="0" w:color="auto"/>
                    <w:left w:val="none" w:sz="0" w:space="0" w:color="auto"/>
                    <w:bottom w:val="none" w:sz="0" w:space="0" w:color="auto"/>
                    <w:right w:val="none" w:sz="0" w:space="0" w:color="auto"/>
                  </w:divBdr>
                  <w:divsChild>
                    <w:div w:id="91634914">
                      <w:marLeft w:val="0"/>
                      <w:marRight w:val="0"/>
                      <w:marTop w:val="0"/>
                      <w:marBottom w:val="0"/>
                      <w:divBdr>
                        <w:top w:val="none" w:sz="0" w:space="0" w:color="auto"/>
                        <w:left w:val="none" w:sz="0" w:space="0" w:color="auto"/>
                        <w:bottom w:val="none" w:sz="0" w:space="0" w:color="auto"/>
                        <w:right w:val="none" w:sz="0" w:space="0" w:color="auto"/>
                      </w:divBdr>
                    </w:div>
                  </w:divsChild>
                </w:div>
                <w:div w:id="1314673667">
                  <w:marLeft w:val="0"/>
                  <w:marRight w:val="0"/>
                  <w:marTop w:val="0"/>
                  <w:marBottom w:val="0"/>
                  <w:divBdr>
                    <w:top w:val="none" w:sz="0" w:space="0" w:color="auto"/>
                    <w:left w:val="none" w:sz="0" w:space="0" w:color="auto"/>
                    <w:bottom w:val="none" w:sz="0" w:space="0" w:color="auto"/>
                    <w:right w:val="none" w:sz="0" w:space="0" w:color="auto"/>
                  </w:divBdr>
                  <w:divsChild>
                    <w:div w:id="742871842">
                      <w:marLeft w:val="0"/>
                      <w:marRight w:val="0"/>
                      <w:marTop w:val="0"/>
                      <w:marBottom w:val="0"/>
                      <w:divBdr>
                        <w:top w:val="none" w:sz="0" w:space="0" w:color="auto"/>
                        <w:left w:val="none" w:sz="0" w:space="0" w:color="auto"/>
                        <w:bottom w:val="none" w:sz="0" w:space="0" w:color="auto"/>
                        <w:right w:val="none" w:sz="0" w:space="0" w:color="auto"/>
                      </w:divBdr>
                    </w:div>
                  </w:divsChild>
                </w:div>
                <w:div w:id="1357316642">
                  <w:marLeft w:val="0"/>
                  <w:marRight w:val="0"/>
                  <w:marTop w:val="0"/>
                  <w:marBottom w:val="0"/>
                  <w:divBdr>
                    <w:top w:val="none" w:sz="0" w:space="0" w:color="auto"/>
                    <w:left w:val="none" w:sz="0" w:space="0" w:color="auto"/>
                    <w:bottom w:val="none" w:sz="0" w:space="0" w:color="auto"/>
                    <w:right w:val="none" w:sz="0" w:space="0" w:color="auto"/>
                  </w:divBdr>
                  <w:divsChild>
                    <w:div w:id="228655533">
                      <w:marLeft w:val="0"/>
                      <w:marRight w:val="0"/>
                      <w:marTop w:val="0"/>
                      <w:marBottom w:val="0"/>
                      <w:divBdr>
                        <w:top w:val="none" w:sz="0" w:space="0" w:color="auto"/>
                        <w:left w:val="none" w:sz="0" w:space="0" w:color="auto"/>
                        <w:bottom w:val="none" w:sz="0" w:space="0" w:color="auto"/>
                        <w:right w:val="none" w:sz="0" w:space="0" w:color="auto"/>
                      </w:divBdr>
                    </w:div>
                  </w:divsChild>
                </w:div>
                <w:div w:id="1422335267">
                  <w:marLeft w:val="0"/>
                  <w:marRight w:val="0"/>
                  <w:marTop w:val="0"/>
                  <w:marBottom w:val="0"/>
                  <w:divBdr>
                    <w:top w:val="none" w:sz="0" w:space="0" w:color="auto"/>
                    <w:left w:val="none" w:sz="0" w:space="0" w:color="auto"/>
                    <w:bottom w:val="none" w:sz="0" w:space="0" w:color="auto"/>
                    <w:right w:val="none" w:sz="0" w:space="0" w:color="auto"/>
                  </w:divBdr>
                  <w:divsChild>
                    <w:div w:id="427384851">
                      <w:marLeft w:val="0"/>
                      <w:marRight w:val="0"/>
                      <w:marTop w:val="0"/>
                      <w:marBottom w:val="0"/>
                      <w:divBdr>
                        <w:top w:val="none" w:sz="0" w:space="0" w:color="auto"/>
                        <w:left w:val="none" w:sz="0" w:space="0" w:color="auto"/>
                        <w:bottom w:val="none" w:sz="0" w:space="0" w:color="auto"/>
                        <w:right w:val="none" w:sz="0" w:space="0" w:color="auto"/>
                      </w:divBdr>
                    </w:div>
                  </w:divsChild>
                </w:div>
                <w:div w:id="1496065258">
                  <w:marLeft w:val="0"/>
                  <w:marRight w:val="0"/>
                  <w:marTop w:val="0"/>
                  <w:marBottom w:val="0"/>
                  <w:divBdr>
                    <w:top w:val="none" w:sz="0" w:space="0" w:color="auto"/>
                    <w:left w:val="none" w:sz="0" w:space="0" w:color="auto"/>
                    <w:bottom w:val="none" w:sz="0" w:space="0" w:color="auto"/>
                    <w:right w:val="none" w:sz="0" w:space="0" w:color="auto"/>
                  </w:divBdr>
                  <w:divsChild>
                    <w:div w:id="1968122248">
                      <w:marLeft w:val="0"/>
                      <w:marRight w:val="0"/>
                      <w:marTop w:val="0"/>
                      <w:marBottom w:val="0"/>
                      <w:divBdr>
                        <w:top w:val="none" w:sz="0" w:space="0" w:color="auto"/>
                        <w:left w:val="none" w:sz="0" w:space="0" w:color="auto"/>
                        <w:bottom w:val="none" w:sz="0" w:space="0" w:color="auto"/>
                        <w:right w:val="none" w:sz="0" w:space="0" w:color="auto"/>
                      </w:divBdr>
                    </w:div>
                  </w:divsChild>
                </w:div>
                <w:div w:id="1535339708">
                  <w:marLeft w:val="0"/>
                  <w:marRight w:val="0"/>
                  <w:marTop w:val="0"/>
                  <w:marBottom w:val="0"/>
                  <w:divBdr>
                    <w:top w:val="none" w:sz="0" w:space="0" w:color="auto"/>
                    <w:left w:val="none" w:sz="0" w:space="0" w:color="auto"/>
                    <w:bottom w:val="none" w:sz="0" w:space="0" w:color="auto"/>
                    <w:right w:val="none" w:sz="0" w:space="0" w:color="auto"/>
                  </w:divBdr>
                  <w:divsChild>
                    <w:div w:id="355037287">
                      <w:marLeft w:val="0"/>
                      <w:marRight w:val="0"/>
                      <w:marTop w:val="0"/>
                      <w:marBottom w:val="0"/>
                      <w:divBdr>
                        <w:top w:val="none" w:sz="0" w:space="0" w:color="auto"/>
                        <w:left w:val="none" w:sz="0" w:space="0" w:color="auto"/>
                        <w:bottom w:val="none" w:sz="0" w:space="0" w:color="auto"/>
                        <w:right w:val="none" w:sz="0" w:space="0" w:color="auto"/>
                      </w:divBdr>
                    </w:div>
                  </w:divsChild>
                </w:div>
                <w:div w:id="1597398755">
                  <w:marLeft w:val="0"/>
                  <w:marRight w:val="0"/>
                  <w:marTop w:val="0"/>
                  <w:marBottom w:val="0"/>
                  <w:divBdr>
                    <w:top w:val="none" w:sz="0" w:space="0" w:color="auto"/>
                    <w:left w:val="none" w:sz="0" w:space="0" w:color="auto"/>
                    <w:bottom w:val="none" w:sz="0" w:space="0" w:color="auto"/>
                    <w:right w:val="none" w:sz="0" w:space="0" w:color="auto"/>
                  </w:divBdr>
                  <w:divsChild>
                    <w:div w:id="1907256907">
                      <w:marLeft w:val="0"/>
                      <w:marRight w:val="0"/>
                      <w:marTop w:val="0"/>
                      <w:marBottom w:val="0"/>
                      <w:divBdr>
                        <w:top w:val="none" w:sz="0" w:space="0" w:color="auto"/>
                        <w:left w:val="none" w:sz="0" w:space="0" w:color="auto"/>
                        <w:bottom w:val="none" w:sz="0" w:space="0" w:color="auto"/>
                        <w:right w:val="none" w:sz="0" w:space="0" w:color="auto"/>
                      </w:divBdr>
                    </w:div>
                  </w:divsChild>
                </w:div>
                <w:div w:id="1607732298">
                  <w:marLeft w:val="0"/>
                  <w:marRight w:val="0"/>
                  <w:marTop w:val="0"/>
                  <w:marBottom w:val="0"/>
                  <w:divBdr>
                    <w:top w:val="none" w:sz="0" w:space="0" w:color="auto"/>
                    <w:left w:val="none" w:sz="0" w:space="0" w:color="auto"/>
                    <w:bottom w:val="none" w:sz="0" w:space="0" w:color="auto"/>
                    <w:right w:val="none" w:sz="0" w:space="0" w:color="auto"/>
                  </w:divBdr>
                  <w:divsChild>
                    <w:div w:id="1973898765">
                      <w:marLeft w:val="0"/>
                      <w:marRight w:val="0"/>
                      <w:marTop w:val="0"/>
                      <w:marBottom w:val="0"/>
                      <w:divBdr>
                        <w:top w:val="none" w:sz="0" w:space="0" w:color="auto"/>
                        <w:left w:val="none" w:sz="0" w:space="0" w:color="auto"/>
                        <w:bottom w:val="none" w:sz="0" w:space="0" w:color="auto"/>
                        <w:right w:val="none" w:sz="0" w:space="0" w:color="auto"/>
                      </w:divBdr>
                    </w:div>
                  </w:divsChild>
                </w:div>
                <w:div w:id="1656647564">
                  <w:marLeft w:val="0"/>
                  <w:marRight w:val="0"/>
                  <w:marTop w:val="0"/>
                  <w:marBottom w:val="0"/>
                  <w:divBdr>
                    <w:top w:val="none" w:sz="0" w:space="0" w:color="auto"/>
                    <w:left w:val="none" w:sz="0" w:space="0" w:color="auto"/>
                    <w:bottom w:val="none" w:sz="0" w:space="0" w:color="auto"/>
                    <w:right w:val="none" w:sz="0" w:space="0" w:color="auto"/>
                  </w:divBdr>
                  <w:divsChild>
                    <w:div w:id="1536850174">
                      <w:marLeft w:val="0"/>
                      <w:marRight w:val="0"/>
                      <w:marTop w:val="0"/>
                      <w:marBottom w:val="0"/>
                      <w:divBdr>
                        <w:top w:val="none" w:sz="0" w:space="0" w:color="auto"/>
                        <w:left w:val="none" w:sz="0" w:space="0" w:color="auto"/>
                        <w:bottom w:val="none" w:sz="0" w:space="0" w:color="auto"/>
                        <w:right w:val="none" w:sz="0" w:space="0" w:color="auto"/>
                      </w:divBdr>
                    </w:div>
                  </w:divsChild>
                </w:div>
                <w:div w:id="1686204775">
                  <w:marLeft w:val="0"/>
                  <w:marRight w:val="0"/>
                  <w:marTop w:val="0"/>
                  <w:marBottom w:val="0"/>
                  <w:divBdr>
                    <w:top w:val="none" w:sz="0" w:space="0" w:color="auto"/>
                    <w:left w:val="none" w:sz="0" w:space="0" w:color="auto"/>
                    <w:bottom w:val="none" w:sz="0" w:space="0" w:color="auto"/>
                    <w:right w:val="none" w:sz="0" w:space="0" w:color="auto"/>
                  </w:divBdr>
                  <w:divsChild>
                    <w:div w:id="1744568960">
                      <w:marLeft w:val="0"/>
                      <w:marRight w:val="0"/>
                      <w:marTop w:val="0"/>
                      <w:marBottom w:val="0"/>
                      <w:divBdr>
                        <w:top w:val="none" w:sz="0" w:space="0" w:color="auto"/>
                        <w:left w:val="none" w:sz="0" w:space="0" w:color="auto"/>
                        <w:bottom w:val="none" w:sz="0" w:space="0" w:color="auto"/>
                        <w:right w:val="none" w:sz="0" w:space="0" w:color="auto"/>
                      </w:divBdr>
                    </w:div>
                  </w:divsChild>
                </w:div>
                <w:div w:id="1771776014">
                  <w:marLeft w:val="0"/>
                  <w:marRight w:val="0"/>
                  <w:marTop w:val="0"/>
                  <w:marBottom w:val="0"/>
                  <w:divBdr>
                    <w:top w:val="none" w:sz="0" w:space="0" w:color="auto"/>
                    <w:left w:val="none" w:sz="0" w:space="0" w:color="auto"/>
                    <w:bottom w:val="none" w:sz="0" w:space="0" w:color="auto"/>
                    <w:right w:val="none" w:sz="0" w:space="0" w:color="auto"/>
                  </w:divBdr>
                  <w:divsChild>
                    <w:div w:id="199057577">
                      <w:marLeft w:val="0"/>
                      <w:marRight w:val="0"/>
                      <w:marTop w:val="0"/>
                      <w:marBottom w:val="0"/>
                      <w:divBdr>
                        <w:top w:val="none" w:sz="0" w:space="0" w:color="auto"/>
                        <w:left w:val="none" w:sz="0" w:space="0" w:color="auto"/>
                        <w:bottom w:val="none" w:sz="0" w:space="0" w:color="auto"/>
                        <w:right w:val="none" w:sz="0" w:space="0" w:color="auto"/>
                      </w:divBdr>
                    </w:div>
                  </w:divsChild>
                </w:div>
                <w:div w:id="1774127671">
                  <w:marLeft w:val="0"/>
                  <w:marRight w:val="0"/>
                  <w:marTop w:val="0"/>
                  <w:marBottom w:val="0"/>
                  <w:divBdr>
                    <w:top w:val="none" w:sz="0" w:space="0" w:color="auto"/>
                    <w:left w:val="none" w:sz="0" w:space="0" w:color="auto"/>
                    <w:bottom w:val="none" w:sz="0" w:space="0" w:color="auto"/>
                    <w:right w:val="none" w:sz="0" w:space="0" w:color="auto"/>
                  </w:divBdr>
                  <w:divsChild>
                    <w:div w:id="1061172737">
                      <w:marLeft w:val="0"/>
                      <w:marRight w:val="0"/>
                      <w:marTop w:val="0"/>
                      <w:marBottom w:val="0"/>
                      <w:divBdr>
                        <w:top w:val="none" w:sz="0" w:space="0" w:color="auto"/>
                        <w:left w:val="none" w:sz="0" w:space="0" w:color="auto"/>
                        <w:bottom w:val="none" w:sz="0" w:space="0" w:color="auto"/>
                        <w:right w:val="none" w:sz="0" w:space="0" w:color="auto"/>
                      </w:divBdr>
                    </w:div>
                  </w:divsChild>
                </w:div>
                <w:div w:id="1825075585">
                  <w:marLeft w:val="0"/>
                  <w:marRight w:val="0"/>
                  <w:marTop w:val="0"/>
                  <w:marBottom w:val="0"/>
                  <w:divBdr>
                    <w:top w:val="none" w:sz="0" w:space="0" w:color="auto"/>
                    <w:left w:val="none" w:sz="0" w:space="0" w:color="auto"/>
                    <w:bottom w:val="none" w:sz="0" w:space="0" w:color="auto"/>
                    <w:right w:val="none" w:sz="0" w:space="0" w:color="auto"/>
                  </w:divBdr>
                  <w:divsChild>
                    <w:div w:id="491604436">
                      <w:marLeft w:val="0"/>
                      <w:marRight w:val="0"/>
                      <w:marTop w:val="0"/>
                      <w:marBottom w:val="0"/>
                      <w:divBdr>
                        <w:top w:val="none" w:sz="0" w:space="0" w:color="auto"/>
                        <w:left w:val="none" w:sz="0" w:space="0" w:color="auto"/>
                        <w:bottom w:val="none" w:sz="0" w:space="0" w:color="auto"/>
                        <w:right w:val="none" w:sz="0" w:space="0" w:color="auto"/>
                      </w:divBdr>
                    </w:div>
                  </w:divsChild>
                </w:div>
                <w:div w:id="1905139062">
                  <w:marLeft w:val="0"/>
                  <w:marRight w:val="0"/>
                  <w:marTop w:val="0"/>
                  <w:marBottom w:val="0"/>
                  <w:divBdr>
                    <w:top w:val="none" w:sz="0" w:space="0" w:color="auto"/>
                    <w:left w:val="none" w:sz="0" w:space="0" w:color="auto"/>
                    <w:bottom w:val="none" w:sz="0" w:space="0" w:color="auto"/>
                    <w:right w:val="none" w:sz="0" w:space="0" w:color="auto"/>
                  </w:divBdr>
                  <w:divsChild>
                    <w:div w:id="1171019998">
                      <w:marLeft w:val="0"/>
                      <w:marRight w:val="0"/>
                      <w:marTop w:val="0"/>
                      <w:marBottom w:val="0"/>
                      <w:divBdr>
                        <w:top w:val="none" w:sz="0" w:space="0" w:color="auto"/>
                        <w:left w:val="none" w:sz="0" w:space="0" w:color="auto"/>
                        <w:bottom w:val="none" w:sz="0" w:space="0" w:color="auto"/>
                        <w:right w:val="none" w:sz="0" w:space="0" w:color="auto"/>
                      </w:divBdr>
                    </w:div>
                  </w:divsChild>
                </w:div>
                <w:div w:id="1942447260">
                  <w:marLeft w:val="0"/>
                  <w:marRight w:val="0"/>
                  <w:marTop w:val="0"/>
                  <w:marBottom w:val="0"/>
                  <w:divBdr>
                    <w:top w:val="none" w:sz="0" w:space="0" w:color="auto"/>
                    <w:left w:val="none" w:sz="0" w:space="0" w:color="auto"/>
                    <w:bottom w:val="none" w:sz="0" w:space="0" w:color="auto"/>
                    <w:right w:val="none" w:sz="0" w:space="0" w:color="auto"/>
                  </w:divBdr>
                  <w:divsChild>
                    <w:div w:id="1190483980">
                      <w:marLeft w:val="0"/>
                      <w:marRight w:val="0"/>
                      <w:marTop w:val="0"/>
                      <w:marBottom w:val="0"/>
                      <w:divBdr>
                        <w:top w:val="none" w:sz="0" w:space="0" w:color="auto"/>
                        <w:left w:val="none" w:sz="0" w:space="0" w:color="auto"/>
                        <w:bottom w:val="none" w:sz="0" w:space="0" w:color="auto"/>
                        <w:right w:val="none" w:sz="0" w:space="0" w:color="auto"/>
                      </w:divBdr>
                    </w:div>
                  </w:divsChild>
                </w:div>
                <w:div w:id="1954432219">
                  <w:marLeft w:val="0"/>
                  <w:marRight w:val="0"/>
                  <w:marTop w:val="0"/>
                  <w:marBottom w:val="0"/>
                  <w:divBdr>
                    <w:top w:val="none" w:sz="0" w:space="0" w:color="auto"/>
                    <w:left w:val="none" w:sz="0" w:space="0" w:color="auto"/>
                    <w:bottom w:val="none" w:sz="0" w:space="0" w:color="auto"/>
                    <w:right w:val="none" w:sz="0" w:space="0" w:color="auto"/>
                  </w:divBdr>
                  <w:divsChild>
                    <w:div w:id="161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5690">
          <w:marLeft w:val="0"/>
          <w:marRight w:val="0"/>
          <w:marTop w:val="0"/>
          <w:marBottom w:val="0"/>
          <w:divBdr>
            <w:top w:val="none" w:sz="0" w:space="0" w:color="auto"/>
            <w:left w:val="none" w:sz="0" w:space="0" w:color="auto"/>
            <w:bottom w:val="none" w:sz="0" w:space="0" w:color="auto"/>
            <w:right w:val="none" w:sz="0" w:space="0" w:color="auto"/>
          </w:divBdr>
        </w:div>
        <w:div w:id="2085645198">
          <w:marLeft w:val="0"/>
          <w:marRight w:val="0"/>
          <w:marTop w:val="0"/>
          <w:marBottom w:val="0"/>
          <w:divBdr>
            <w:top w:val="none" w:sz="0" w:space="0" w:color="auto"/>
            <w:left w:val="none" w:sz="0" w:space="0" w:color="auto"/>
            <w:bottom w:val="none" w:sz="0" w:space="0" w:color="auto"/>
            <w:right w:val="none" w:sz="0" w:space="0" w:color="auto"/>
          </w:divBdr>
        </w:div>
        <w:div w:id="2111536487">
          <w:marLeft w:val="0"/>
          <w:marRight w:val="0"/>
          <w:marTop w:val="0"/>
          <w:marBottom w:val="0"/>
          <w:divBdr>
            <w:top w:val="none" w:sz="0" w:space="0" w:color="auto"/>
            <w:left w:val="none" w:sz="0" w:space="0" w:color="auto"/>
            <w:bottom w:val="none" w:sz="0" w:space="0" w:color="auto"/>
            <w:right w:val="none" w:sz="0" w:space="0" w:color="auto"/>
          </w:divBdr>
        </w:div>
      </w:divsChild>
    </w:div>
    <w:div w:id="34386996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7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db64a4-e7b5-48a1-8d87-541e28fbb24f" xsi:nil="true"/>
    <lcf76f155ced4ddcb4097134ff3c332f xmlns="17c4b9a7-c66b-457a-830c-eb7c55b34f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13" ma:contentTypeDescription="Create a new document." ma:contentTypeScope="" ma:versionID="57140721bc8b17354c454f119f31ec79">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9fd291056edae9b33048605789ee37c5"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224c6cf-7a3f-43f2-8da3-e6d9337d6735}" ma:internalName="TaxCatchAll" ma:showField="CatchAllData" ma:web="a5db64a4-e7b5-48a1-8d87-541e28fbb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17c4b9a7-c66b-457a-830c-eb7c55b34fc5"/>
    <ds:schemaRef ds:uri="http://purl.org/dc/terms/"/>
    <ds:schemaRef ds:uri="http://schemas.openxmlformats.org/package/2006/metadata/core-properties"/>
    <ds:schemaRef ds:uri="http://schemas.microsoft.com/office/2006/documentManagement/types"/>
    <ds:schemaRef ds:uri="a5db64a4-e7b5-48a1-8d87-541e28fbb24f"/>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F95499-E2D4-4EFF-9405-BB227391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620B4-CA0F-465D-8625-382A6DCF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6015</Words>
  <Characters>31260</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9</cp:revision>
  <cp:lastPrinted>2015-07-03T20:50:00Z</cp:lastPrinted>
  <dcterms:created xsi:type="dcterms:W3CDTF">2023-11-23T12:44:00Z</dcterms:created>
  <dcterms:modified xsi:type="dcterms:W3CDTF">2023-11-29T14:55:00Z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y fmtid="{D5CDD505-2E9C-101B-9397-08002B2CF9AE}" pid="3" name="MediaServiceImageTags">
    <vt:lpwstr/>
  </property>
</Properties>
</file>